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Georgia" w:cs="Georgia" w:eastAsia="Georgia" w:hAnsi="Georgia"/>
          <w:b/>
          <w:bCs/>
          <w:color w:val="070B11"/>
          <w:sz w:val="44"/>
          <w:szCs w:val="44"/>
        </w:rPr>
        <w:t xml:space="preserve">The Big Lease</w:t>
      </w:r>
    </w:p>
    <w:p>
      <w:pPr>
        <w:spacing w:after="60"/>
      </w:pPr>
      <w:r>
        <w:rPr>
          <w:rFonts w:ascii="Georgia" w:cs="Georgia" w:eastAsia="Georgia" w:hAnsi="Georgia"/>
          <w:color w:val="CFA94A"/>
          <w:sz w:val="32"/>
          <w:szCs w:val="32"/>
        </w:rPr>
        <w:t xml:space="preserve">Data Sources &amp; Claim Verification</w:t>
      </w:r>
    </w:p>
    <w:p>
      <w:pPr>
        <w:pBdr>
          <w:bottom w:val="single" w:color="CFA94A" w:sz="6" w:space="4"/>
        </w:pBdr>
        <w:spacing w:after="200"/>
      </w:pPr>
      <w:r>
        <w:rPr>
          <w:rFonts w:ascii="Arial" w:cs="Arial" w:eastAsia="Arial" w:hAnsi="Arial"/>
          <w:color w:val="888888"/>
          <w:sz w:val="18"/>
          <w:szCs w:val="18"/>
        </w:rPr>
        <w:t xml:space="preserve">Investor Prospectus Supplement  |  April 2026  |  Confidential</w:t>
      </w:r>
    </w:p>
    <w:p>
      <w:pPr>
        <w:spacing w:after="120"/>
      </w:pPr>
      <w:r>
        <w:rPr>
          <w:rFonts w:ascii="Arial" w:cs="Arial" w:eastAsia="Arial" w:hAnsi="Arial"/>
          <w:color w:val="333333"/>
          <w:sz w:val="22"/>
          <w:szCs w:val="22"/>
        </w:rPr>
        <w:t xml:space="preserve">This document provides sourced verification for every material claim, projection, and data point presented in The Big Lease investor deck and financial projections. All figures are current as of April 2026 and sourced from reputable industry associations, government agencies, SEC filings, and recognized research institutions.</w:t>
      </w:r>
    </w:p>
    <w:p>
      <w:pPr>
        <w:pBdr>
          <w:left w:val="single" w:color="CFA94A" w:sz="12" w:space="8"/>
        </w:pBdr>
        <w:spacing w:after="200" w:before="200"/>
        <w:ind w:left="360"/>
      </w:pPr>
      <w:r>
        <w:rPr>
          <w:rFonts w:ascii="Arial" w:cs="Arial" w:eastAsia="Arial" w:hAnsi="Arial"/>
          <w:i/>
          <w:iCs/>
          <w:color w:val="555555"/>
          <w:sz w:val="22"/>
          <w:szCs w:val="22"/>
        </w:rPr>
        <w:t xml:space="preserve">Note: Forward-looking projections (revenue targets, market capture estimates, growth timelines) are management estimates based on the underlying data cited herein. They are not guarantees of future performance.</w:t>
      </w:r>
    </w:p>
    <w:p>
      <w:r>
        <w:br w:type="page"/>
      </w:r>
    </w:p>
    <w:p>
      <w:pPr>
        <w:pStyle w:val="Heading1"/>
      </w:pPr>
      <w:r>
        <w:t xml:space="preserve">1. Market Size &amp; TAM</w:t>
      </w:r>
    </w:p>
    <w:p>
      <w:pPr>
        <w:spacing w:after="120"/>
      </w:pPr>
      <w:r>
        <w:rPr>
          <w:rFonts w:ascii="Arial" w:cs="Arial" w:eastAsia="Arial" w:hAnsi="Arial"/>
          <w:color w:val="333333"/>
          <w:sz w:val="22"/>
          <w:szCs w:val="22"/>
        </w:rPr>
        <w:t xml:space="preserve">The deck claims a $1 trillion+ total addressable market across four asset classes. The following data supports this figure:</w:t>
      </w:r>
    </w:p>
    <w:p>
      <w:pPr>
        <w:pStyle w:val="Heading2"/>
      </w:pPr>
      <w:r>
        <w:t xml:space="preserve">Leasing Market Data</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200"/>
        <w:gridCol w:w="2000"/>
        <w:gridCol w:w="1760"/>
      </w:tblGrid>
      <w:tr>
        <w:tc>
          <w:tcPr>
            <w:tcW w:type="dxa" w:w="24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Claim</w:t>
            </w:r>
          </w:p>
        </w:tc>
        <w:tc>
          <w:tcPr>
            <w:tcW w:type="dxa" w:w="32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Data Point</w:t>
            </w:r>
          </w:p>
        </w:tc>
        <w:tc>
          <w:tcPr>
            <w:tcW w:type="dxa" w:w="20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Source</w:t>
            </w:r>
          </w:p>
        </w:tc>
        <w:tc>
          <w:tcPr>
            <w:tcW w:type="dxa" w:w="176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Reference</w:t>
            </w:r>
          </w:p>
        </w:tc>
      </w:tr>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US Equipment Leasing (Annual)</w:t>
            </w:r>
          </w:p>
        </w:tc>
        <w:tc>
          <w:tcPr>
            <w:tcW w:type="dxa" w:w="32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$1.02 trillion in new business volume</w:t>
            </w:r>
          </w:p>
        </w:tc>
        <w:tc>
          <w:tcPr>
            <w:tcW w:type="dxa" w:w="20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Equipment Leasing &amp; Finance Association (ELFA)</w:t>
            </w:r>
          </w:p>
        </w:tc>
        <w:tc>
          <w:tcPr>
            <w:tcW w:type="dxa" w:w="176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hyperlink w:history="1" r:id="rIdyesofub8jzulswmejh5rw">
              <w:r>
                <w:rPr>
                  <w:rStyle w:val="Hyperlink"/>
                  <w:rFonts w:ascii="Arial" w:cs="Arial" w:eastAsia="Arial" w:hAnsi="Arial"/>
                  <w:sz w:val="16"/>
                  <w:szCs w:val="16"/>
                </w:rPr>
                <w:t xml:space="preserve">Link</w:t>
              </w:r>
            </w:hyperlink>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ELFA 2025 Activity</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$119.8 billion new activity (2nd all-time high); 3.1% NBV growth</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ELFA CFI Report, December 2025</w:t>
            </w:r>
          </w:p>
        </w:tc>
        <w:tc>
          <w:tcPr>
            <w:tcW w:type="dxa" w:w="1760"/>
            <w:tcBorders>
              <w:top w:val="single" w:color="CCCCCC" w:sz="1"/>
              <w:left w:val="single" w:color="CCCCCC" w:sz="1"/>
              <w:bottom w:val="single" w:color="CCCCCC" w:sz="1"/>
              <w:right w:val="single" w:color="CCCCCC" w:sz="1"/>
            </w:tcBorders>
            <w:tcMar>
              <w:top w:type="dxa" w:w="80"/>
              <w:left w:type="dxa" w:w="120"/>
              <w:bottom w:type="dxa" w:w="80"/>
              <w:right w:type="dxa" w:w="120"/>
            </w:tcMar>
          </w:tcPr>
          <w:p>
            <w:hyperlink w:history="1" r:id="rIdjtpuxwpg6jpasf6qa2pea">
              <w:r>
                <w:rPr>
                  <w:rStyle w:val="Hyperlink"/>
                  <w:rFonts w:ascii="Arial" w:cs="Arial" w:eastAsia="Arial" w:hAnsi="Arial"/>
                  <w:sz w:val="16"/>
                  <w:szCs w:val="16"/>
                </w:rPr>
                <w:t xml:space="preserve">Link</w:t>
              </w:r>
            </w:hyperlink>
          </w:p>
        </w:tc>
      </w:tr>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US Commercial Real Estate</w:t>
            </w:r>
          </w:p>
        </w:tc>
        <w:tc>
          <w:tcPr>
            <w:tcW w:type="dxa" w:w="32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$742.3 billion market value (2025); rental structures 68.2%</w:t>
            </w:r>
          </w:p>
        </w:tc>
        <w:tc>
          <w:tcPr>
            <w:tcW w:type="dxa" w:w="20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IMARC Group / CoStar / CBRE</w:t>
            </w:r>
          </w:p>
        </w:tc>
        <w:tc>
          <w:tcPr>
            <w:tcW w:type="dxa" w:w="176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hyperlink w:history="1" r:id="rIdr3qkuzmatqvzitezrvez6">
              <w:r>
                <w:rPr>
                  <w:rStyle w:val="Hyperlink"/>
                  <w:rFonts w:ascii="Arial" w:cs="Arial" w:eastAsia="Arial" w:hAnsi="Arial"/>
                  <w:sz w:val="16"/>
                  <w:szCs w:val="16"/>
                </w:rPr>
                <w:t xml:space="preserve">Link</w:t>
              </w:r>
            </w:hyperlink>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US Vehicle Leasing</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$174.1 billion (2025); projected $242.4B (2026)</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Fortune Business Insights</w:t>
            </w:r>
          </w:p>
        </w:tc>
        <w:tc>
          <w:tcPr>
            <w:tcW w:type="dxa" w:w="1760"/>
            <w:tcBorders>
              <w:top w:val="single" w:color="CCCCCC" w:sz="1"/>
              <w:left w:val="single" w:color="CCCCCC" w:sz="1"/>
              <w:bottom w:val="single" w:color="CCCCCC" w:sz="1"/>
              <w:right w:val="single" w:color="CCCCCC" w:sz="1"/>
            </w:tcBorders>
            <w:tcMar>
              <w:top w:type="dxa" w:w="80"/>
              <w:left w:type="dxa" w:w="120"/>
              <w:bottom w:type="dxa" w:w="80"/>
              <w:right w:type="dxa" w:w="120"/>
            </w:tcMar>
          </w:tcPr>
          <w:p>
            <w:hyperlink w:history="1" r:id="rIduz8vvoldc72n9zpcp2kvn">
              <w:r>
                <w:rPr>
                  <w:rStyle w:val="Hyperlink"/>
                  <w:rFonts w:ascii="Arial" w:cs="Arial" w:eastAsia="Arial" w:hAnsi="Arial"/>
                  <w:sz w:val="16"/>
                  <w:szCs w:val="16"/>
                </w:rPr>
                <w:t xml:space="preserve">Link</w:t>
              </w:r>
            </w:hyperlink>
          </w:p>
        </w:tc>
      </w:tr>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Texas Commercial Activity</w:t>
            </w:r>
          </w:p>
        </w:tc>
        <w:tc>
          <w:tcPr>
            <w:tcW w:type="dxa" w:w="32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$203.4 billion annual; Houston $3B sales; Dallas 14.8 msf leased</w:t>
            </w:r>
          </w:p>
        </w:tc>
        <w:tc>
          <w:tcPr>
            <w:tcW w:type="dxa" w:w="20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Texas Real Estate Research Center (TRERC)</w:t>
            </w:r>
          </w:p>
        </w:tc>
        <w:tc>
          <w:tcPr>
            <w:tcW w:type="dxa" w:w="176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hyperlink w:history="1" r:id="rIdkkze7vyvlvmi4mbyiyhrg">
              <w:r>
                <w:rPr>
                  <w:rStyle w:val="Hyperlink"/>
                  <w:rFonts w:ascii="Arial" w:cs="Arial" w:eastAsia="Arial" w:hAnsi="Arial"/>
                  <w:sz w:val="16"/>
                  <w:szCs w:val="16"/>
                </w:rPr>
                <w:t xml:space="preserve">Link</w:t>
              </w:r>
            </w:hyperlink>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Texas Share of US Market</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~8% of national lease volume; $80B+ annually</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ELFA + TRERC (derived)</w:t>
            </w:r>
          </w:p>
        </w:tc>
        <w:tc>
          <w:tcPr>
            <w:tcW w:type="dxa" w:w="1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N/A</w:t>
            </w:r>
          </w:p>
        </w:tc>
      </w:tr>
    </w:tbl>
    <w:p>
      <w:pPr>
        <w:spacing w:after="0" w:before="120"/>
      </w:pPr>
    </w:p>
    <w:p>
      <w:pPr>
        <w:pBdr>
          <w:left w:val="single" w:color="CFA94A" w:sz="12" w:space="8"/>
        </w:pBdr>
        <w:spacing w:after="200" w:before="200"/>
        <w:ind w:left="360"/>
      </w:pPr>
      <w:r>
        <w:rPr>
          <w:rFonts w:ascii="Arial" w:cs="Arial" w:eastAsia="Arial" w:hAnsi="Arial"/>
          <w:i/>
          <w:iCs/>
          <w:color w:val="555555"/>
          <w:sz w:val="22"/>
          <w:szCs w:val="22"/>
        </w:rPr>
        <w:t xml:space="preserve">Combined annual leasing volume across equipment ($1.02T), commercial real estate ($742B), vehicles ($174B), and business transfers exceeds $1 trillion. TBL targets transaction fees on this volume, not the asset value itself.</w:t>
      </w:r>
    </w:p>
    <w:p>
      <w:r>
        <w:br w:type="page"/>
      </w:r>
    </w:p>
    <w:p>
      <w:pPr>
        <w:pStyle w:val="Heading1"/>
      </w:pPr>
      <w:r>
        <w:t xml:space="preserve">2. Competitive Landscape</w:t>
      </w:r>
    </w:p>
    <w:p>
      <w:pPr>
        <w:spacing w:after="120"/>
      </w:pPr>
      <w:r>
        <w:rPr>
          <w:rFonts w:ascii="Arial" w:cs="Arial" w:eastAsia="Arial" w:hAnsi="Arial"/>
          <w:color w:val="333333"/>
          <w:sz w:val="22"/>
          <w:szCs w:val="22"/>
        </w:rPr>
        <w:t xml:space="preserve">The deck positions TBL against existing players. The following data supports the competitive claims:</w:t>
      </w:r>
    </w:p>
    <w:p>
      <w:pPr>
        <w:pStyle w:val="Heading2"/>
      </w:pPr>
      <w:r>
        <w:t xml:space="preserve">Competitor Data</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200"/>
        <w:gridCol w:w="2000"/>
        <w:gridCol w:w="1760"/>
      </w:tblGrid>
      <w:tr>
        <w:tc>
          <w:tcPr>
            <w:tcW w:type="dxa" w:w="24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Claim</w:t>
            </w:r>
          </w:p>
        </w:tc>
        <w:tc>
          <w:tcPr>
            <w:tcW w:type="dxa" w:w="32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Data Point</w:t>
            </w:r>
          </w:p>
        </w:tc>
        <w:tc>
          <w:tcPr>
            <w:tcW w:type="dxa" w:w="20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Source</w:t>
            </w:r>
          </w:p>
        </w:tc>
        <w:tc>
          <w:tcPr>
            <w:tcW w:type="dxa" w:w="176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Reference</w:t>
            </w:r>
          </w:p>
        </w:tc>
      </w:tr>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CoStar Group Market Cap</w:t>
            </w:r>
          </w:p>
        </w:tc>
        <w:tc>
          <w:tcPr>
            <w:tcW w:type="dxa" w:w="32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$16.6-21.3 billion (Feb 2026)</w:t>
            </w:r>
          </w:p>
        </w:tc>
        <w:tc>
          <w:tcPr>
            <w:tcW w:type="dxa" w:w="20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Yahoo Finance / Companies Market Cap</w:t>
            </w:r>
          </w:p>
        </w:tc>
        <w:tc>
          <w:tcPr>
            <w:tcW w:type="dxa" w:w="176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hyperlink w:history="1" r:id="rIdpxhuwm_rqp-gs4pn1fkwb">
              <w:r>
                <w:rPr>
                  <w:rStyle w:val="Hyperlink"/>
                  <w:rFonts w:ascii="Arial" w:cs="Arial" w:eastAsia="Arial" w:hAnsi="Arial"/>
                  <w:sz w:val="16"/>
                  <w:szCs w:val="16"/>
                </w:rPr>
                <w:t xml:space="preserve">Link</w:t>
              </w:r>
            </w:hyperlink>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CoStar Annual Revenue</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$3.25 billion (2025 trailing 12-month)</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CoStar Q4 2025 Results</w:t>
            </w:r>
          </w:p>
        </w:tc>
        <w:tc>
          <w:tcPr>
            <w:tcW w:type="dxa" w:w="1760"/>
            <w:tcBorders>
              <w:top w:val="single" w:color="CCCCCC" w:sz="1"/>
              <w:left w:val="single" w:color="CCCCCC" w:sz="1"/>
              <w:bottom w:val="single" w:color="CCCCCC" w:sz="1"/>
              <w:right w:val="single" w:color="CCCCCC" w:sz="1"/>
            </w:tcBorders>
            <w:tcMar>
              <w:top w:type="dxa" w:w="80"/>
              <w:left w:type="dxa" w:w="120"/>
              <w:bottom w:type="dxa" w:w="80"/>
              <w:right w:type="dxa" w:w="120"/>
            </w:tcMar>
          </w:tcPr>
          <w:p>
            <w:hyperlink w:history="1" r:id="rIdpvcgl7zrnsomgfvxhqt0q">
              <w:r>
                <w:rPr>
                  <w:rStyle w:val="Hyperlink"/>
                  <w:rFonts w:ascii="Arial" w:cs="Arial" w:eastAsia="Arial" w:hAnsi="Arial"/>
                  <w:sz w:val="16"/>
                  <w:szCs w:val="16"/>
                </w:rPr>
                <w:t xml:space="preserve">Link</w:t>
              </w:r>
            </w:hyperlink>
          </w:p>
        </w:tc>
      </w:tr>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CoStar Time to Build</w:t>
            </w:r>
          </w:p>
        </w:tc>
        <w:tc>
          <w:tcPr>
            <w:tcW w:type="dxa" w:w="32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30+ years to reach current scale</w:t>
            </w:r>
          </w:p>
        </w:tc>
        <w:tc>
          <w:tcPr>
            <w:tcW w:type="dxa" w:w="20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CoStar Group SEC Filings</w:t>
            </w:r>
          </w:p>
        </w:tc>
        <w:tc>
          <w:tcPr>
            <w:tcW w:type="dxa" w:w="176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hyperlink w:history="1" r:id="rIdxq83a46lsc76u3dbnrznn">
              <w:r>
                <w:rPr>
                  <w:rStyle w:val="Hyperlink"/>
                  <w:rFonts w:ascii="Arial" w:cs="Arial" w:eastAsia="Arial" w:hAnsi="Arial"/>
                  <w:sz w:val="16"/>
                  <w:szCs w:val="16"/>
                </w:rPr>
                <w:t xml:space="preserve">Link</w:t>
              </w:r>
            </w:hyperlink>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Broker Commission Rates</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4-12% of total deal value</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CBRE / JLL / Marcus &amp; Millichap standard schedules</w:t>
            </w:r>
          </w:p>
        </w:tc>
        <w:tc>
          <w:tcPr>
            <w:tcW w:type="dxa" w:w="1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N/A</w:t>
            </w:r>
          </w:p>
        </w:tc>
      </w:tr>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Lease Accounting Software</w:t>
            </w:r>
          </w:p>
        </w:tc>
        <w:tc>
          <w:tcPr>
            <w:tcW w:type="dxa" w:w="32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$5,000/yr x 3 years = $15,000 per client (industry average)</w:t>
            </w:r>
          </w:p>
        </w:tc>
        <w:tc>
          <w:tcPr>
            <w:tcW w:type="dxa" w:w="20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LeaseQuery / Visual Lease / Occupier published pricing</w:t>
            </w:r>
          </w:p>
        </w:tc>
        <w:tc>
          <w:tcPr>
            <w:tcW w:type="dxa" w:w="176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N/A</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CPA Lease Review Costs</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$2,000/yr x 3 = $6,000 per client</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Industry standard rates</w:t>
            </w:r>
          </w:p>
        </w:tc>
        <w:tc>
          <w:tcPr>
            <w:tcW w:type="dxa" w:w="1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N/A</w:t>
            </w:r>
          </w:p>
        </w:tc>
      </w:tr>
    </w:tbl>
    <w:p>
      <w:r>
        <w:br w:type="page"/>
      </w:r>
    </w:p>
    <w:p>
      <w:pPr>
        <w:pStyle w:val="Heading1"/>
      </w:pPr>
      <w:r>
        <w:t xml:space="preserve">3. Macro Tailwinds: AI Boom &amp; Silver Tsunami</w:t>
      </w:r>
    </w:p>
    <w:p>
      <w:pPr>
        <w:pStyle w:val="Heading2"/>
      </w:pPr>
      <w:r>
        <w:t xml:space="preserve">AI &amp; Data Center Growth</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200"/>
        <w:gridCol w:w="2000"/>
        <w:gridCol w:w="1760"/>
      </w:tblGrid>
      <w:tr>
        <w:tc>
          <w:tcPr>
            <w:tcW w:type="dxa" w:w="24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Claim</w:t>
            </w:r>
          </w:p>
        </w:tc>
        <w:tc>
          <w:tcPr>
            <w:tcW w:type="dxa" w:w="32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Data Point</w:t>
            </w:r>
          </w:p>
        </w:tc>
        <w:tc>
          <w:tcPr>
            <w:tcW w:type="dxa" w:w="20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Source</w:t>
            </w:r>
          </w:p>
        </w:tc>
        <w:tc>
          <w:tcPr>
            <w:tcW w:type="dxa" w:w="176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Reference</w:t>
            </w:r>
          </w:p>
        </w:tc>
      </w:tr>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AI Infrastructure Spend (2026)</w:t>
            </w:r>
          </w:p>
        </w:tc>
        <w:tc>
          <w:tcPr>
            <w:tcW w:type="dxa" w:w="32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$650-700B planned by Big Five (Google $185B, Microsoft $145B, Amazon $200B, Meta $115-135B)</w:t>
            </w:r>
          </w:p>
        </w:tc>
        <w:tc>
          <w:tcPr>
            <w:tcW w:type="dxa" w:w="20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Industry Reports / Carbon Credits</w:t>
            </w:r>
          </w:p>
        </w:tc>
        <w:tc>
          <w:tcPr>
            <w:tcW w:type="dxa" w:w="176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hyperlink w:history="1" r:id="rIdvoj4aucw-rxp98aoxxkvf">
              <w:r>
                <w:rPr>
                  <w:rStyle w:val="Hyperlink"/>
                  <w:rFonts w:ascii="Arial" w:cs="Arial" w:eastAsia="Arial" w:hAnsi="Arial"/>
                  <w:sz w:val="16"/>
                  <w:szCs w:val="16"/>
                </w:rPr>
                <w:t xml:space="preserve">Link</w:t>
              </w:r>
            </w:hyperlink>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Data Center Construction</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$53.7 billion YTD through Nov 2025; 98% CAGR 2021-2025</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ConstructConnect</w:t>
            </w:r>
          </w:p>
        </w:tc>
        <w:tc>
          <w:tcPr>
            <w:tcW w:type="dxa" w:w="1760"/>
            <w:tcBorders>
              <w:top w:val="single" w:color="CCCCCC" w:sz="1"/>
              <w:left w:val="single" w:color="CCCCCC" w:sz="1"/>
              <w:bottom w:val="single" w:color="CCCCCC" w:sz="1"/>
              <w:right w:val="single" w:color="CCCCCC" w:sz="1"/>
            </w:tcBorders>
            <w:tcMar>
              <w:top w:type="dxa" w:w="80"/>
              <w:left w:type="dxa" w:w="120"/>
              <w:bottom w:type="dxa" w:w="80"/>
              <w:right w:type="dxa" w:w="120"/>
            </w:tcMar>
          </w:tcPr>
          <w:p>
            <w:hyperlink w:history="1" r:id="rIdxkh8uvystcukx6n0fjsnr">
              <w:r>
                <w:rPr>
                  <w:rStyle w:val="Hyperlink"/>
                  <w:rFonts w:ascii="Arial" w:cs="Arial" w:eastAsia="Arial" w:hAnsi="Arial"/>
                  <w:sz w:val="16"/>
                  <w:szCs w:val="16"/>
                </w:rPr>
                <w:t xml:space="preserve">Link</w:t>
              </w:r>
            </w:hyperlink>
          </w:p>
        </w:tc>
      </w:tr>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Data Center Energy Demand</w:t>
            </w:r>
          </w:p>
        </w:tc>
        <w:tc>
          <w:tcPr>
            <w:tcW w:type="dxa" w:w="32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500+ TWh globally (2% of global consumption); 30% annual growth</w:t>
            </w:r>
          </w:p>
        </w:tc>
        <w:tc>
          <w:tcPr>
            <w:tcW w:type="dxa" w:w="20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International Energy Agency (IEA)</w:t>
            </w:r>
          </w:p>
        </w:tc>
        <w:tc>
          <w:tcPr>
            <w:tcW w:type="dxa" w:w="176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hyperlink w:history="1" r:id="rIdsv11d9obkbk4mrkuirfsd">
              <w:r>
                <w:rPr>
                  <w:rStyle w:val="Hyperlink"/>
                  <w:rFonts w:ascii="Arial" w:cs="Arial" w:eastAsia="Arial" w:hAnsi="Arial"/>
                  <w:sz w:val="16"/>
                  <w:szCs w:val="16"/>
                </w:rPr>
                <w:t xml:space="preserve">Link</w:t>
              </w:r>
            </w:hyperlink>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US Data Center Power</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80 GW (2025) projected to 150 GW (2028); nearly doubling</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Bloom Energy Report</w:t>
            </w:r>
          </w:p>
        </w:tc>
        <w:tc>
          <w:tcPr>
            <w:tcW w:type="dxa" w:w="1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N/A</w:t>
            </w:r>
          </w:p>
        </w:tc>
      </w:tr>
    </w:tbl>
    <w:p>
      <w:pPr>
        <w:spacing w:after="0" w:before="120"/>
      </w:pPr>
    </w:p>
    <w:p>
      <w:pPr>
        <w:pStyle w:val="Heading2"/>
      </w:pPr>
      <w:r>
        <w:t xml:space="preserve">Silver Tsunami &amp; Wealth Transfer</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200"/>
        <w:gridCol w:w="2000"/>
        <w:gridCol w:w="1760"/>
      </w:tblGrid>
      <w:tr>
        <w:tc>
          <w:tcPr>
            <w:tcW w:type="dxa" w:w="24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Claim</w:t>
            </w:r>
          </w:p>
        </w:tc>
        <w:tc>
          <w:tcPr>
            <w:tcW w:type="dxa" w:w="32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Data Point</w:t>
            </w:r>
          </w:p>
        </w:tc>
        <w:tc>
          <w:tcPr>
            <w:tcW w:type="dxa" w:w="20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Source</w:t>
            </w:r>
          </w:p>
        </w:tc>
        <w:tc>
          <w:tcPr>
            <w:tcW w:type="dxa" w:w="176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Reference</w:t>
            </w:r>
          </w:p>
        </w:tc>
      </w:tr>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Baby Boomers Retiring</w:t>
            </w:r>
          </w:p>
        </w:tc>
        <w:tc>
          <w:tcPr>
            <w:tcW w:type="dxa" w:w="32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~10,000 per day reaching retirement age</w:t>
            </w:r>
          </w:p>
        </w:tc>
        <w:tc>
          <w:tcPr>
            <w:tcW w:type="dxa" w:w="20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Multiple sources / Vernick Financial</w:t>
            </w:r>
          </w:p>
        </w:tc>
        <w:tc>
          <w:tcPr>
            <w:tcW w:type="dxa" w:w="176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hyperlink w:history="1" r:id="rId2rae_jbtixpoxmpzkef18">
              <w:r>
                <w:rPr>
                  <w:rStyle w:val="Hyperlink"/>
                  <w:rFonts w:ascii="Arial" w:cs="Arial" w:eastAsia="Arial" w:hAnsi="Arial"/>
                  <w:sz w:val="16"/>
                  <w:szCs w:val="16"/>
                </w:rPr>
                <w:t xml:space="preserve">Link</w:t>
              </w:r>
            </w:hyperlink>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Great Wealth Transfer</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$84-124 trillion transferring through 2045-2048</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Cerulli Associates</w:t>
            </w:r>
          </w:p>
        </w:tc>
        <w:tc>
          <w:tcPr>
            <w:tcW w:type="dxa" w:w="1760"/>
            <w:tcBorders>
              <w:top w:val="single" w:color="CCCCCC" w:sz="1"/>
              <w:left w:val="single" w:color="CCCCCC" w:sz="1"/>
              <w:bottom w:val="single" w:color="CCCCCC" w:sz="1"/>
              <w:right w:val="single" w:color="CCCCCC" w:sz="1"/>
            </w:tcBorders>
            <w:tcMar>
              <w:top w:type="dxa" w:w="80"/>
              <w:left w:type="dxa" w:w="120"/>
              <w:bottom w:type="dxa" w:w="80"/>
              <w:right w:type="dxa" w:w="120"/>
            </w:tcMar>
          </w:tcPr>
          <w:p>
            <w:hyperlink w:history="1" r:id="rIdglhqaa4gxfsprrqpnyi2f">
              <w:r>
                <w:rPr>
                  <w:rStyle w:val="Hyperlink"/>
                  <w:rFonts w:ascii="Arial" w:cs="Arial" w:eastAsia="Arial" w:hAnsi="Arial"/>
                  <w:sz w:val="16"/>
                  <w:szCs w:val="16"/>
                </w:rPr>
                <w:t xml:space="preserve">Link</w:t>
              </w:r>
            </w:hyperlink>
          </w:p>
        </w:tc>
      </w:tr>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Business Succession Gap</w:t>
            </w:r>
          </w:p>
        </w:tc>
        <w:tc>
          <w:tcPr>
            <w:tcW w:type="dxa" w:w="32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Majority of small businesses lack formal succession plans</w:t>
            </w:r>
          </w:p>
        </w:tc>
        <w:tc>
          <w:tcPr>
            <w:tcW w:type="dxa" w:w="20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National Association of Certified Valuators and Analysts</w:t>
            </w:r>
          </w:p>
        </w:tc>
        <w:tc>
          <w:tcPr>
            <w:tcW w:type="dxa" w:w="176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N/A</w:t>
            </w:r>
          </w:p>
        </w:tc>
      </w:tr>
    </w:tbl>
    <w:p>
      <w:r>
        <w:br w:type="page"/>
      </w:r>
    </w:p>
    <w:p>
      <w:pPr>
        <w:pStyle w:val="Heading1"/>
      </w:pPr>
      <w:r>
        <w:t xml:space="preserve">4. Boom Belt Geography</w:t>
      </w:r>
    </w:p>
    <w:p>
      <w:pPr>
        <w:spacing w:after="120"/>
      </w:pPr>
      <w:r>
        <w:rPr>
          <w:rFonts w:ascii="Arial" w:cs="Arial" w:eastAsia="Arial" w:hAnsi="Arial"/>
          <w:color w:val="333333"/>
          <w:sz w:val="22"/>
          <w:szCs w:val="22"/>
        </w:rPr>
        <w:t xml:space="preserve">The deck identifies an 11-state Boom Belt region driving American economic growth. The following data supports these geographic claims:</w:t>
      </w:r>
    </w:p>
    <w:p>
      <w:pPr>
        <w:pStyle w:val="Heading2"/>
      </w:pPr>
      <w:r>
        <w:t xml:space="preserve">Boom Belt States</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200"/>
        <w:gridCol w:w="2000"/>
        <w:gridCol w:w="1760"/>
      </w:tblGrid>
      <w:tr>
        <w:tc>
          <w:tcPr>
            <w:tcW w:type="dxa" w:w="24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Claim</w:t>
            </w:r>
          </w:p>
        </w:tc>
        <w:tc>
          <w:tcPr>
            <w:tcW w:type="dxa" w:w="32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Data Point</w:t>
            </w:r>
          </w:p>
        </w:tc>
        <w:tc>
          <w:tcPr>
            <w:tcW w:type="dxa" w:w="20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Source</w:t>
            </w:r>
          </w:p>
        </w:tc>
        <w:tc>
          <w:tcPr>
            <w:tcW w:type="dxa" w:w="176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Reference</w:t>
            </w:r>
          </w:p>
        </w:tc>
      </w:tr>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No-Income-Tax States</w:t>
            </w:r>
          </w:p>
        </w:tc>
        <w:tc>
          <w:tcPr>
            <w:tcW w:type="dxa" w:w="32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9 states: AK, FL, NV, NH, SD, TN, TX, WA, WY (TX, FL, TN in Boom Belt)</w:t>
            </w:r>
          </w:p>
        </w:tc>
        <w:tc>
          <w:tcPr>
            <w:tcW w:type="dxa" w:w="20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Tax Foundation</w:t>
            </w:r>
          </w:p>
        </w:tc>
        <w:tc>
          <w:tcPr>
            <w:tcW w:type="dxa" w:w="176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hyperlink w:history="1" r:id="rId0lvnksvyae2s7cgaab-y9">
              <w:r>
                <w:rPr>
                  <w:rStyle w:val="Hyperlink"/>
                  <w:rFonts w:ascii="Arial" w:cs="Arial" w:eastAsia="Arial" w:hAnsi="Arial"/>
                  <w:sz w:val="16"/>
                  <w:szCs w:val="16"/>
                </w:rPr>
                <w:t xml:space="preserve">Link</w:t>
              </w:r>
            </w:hyperlink>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Texas Population Growth</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1.34% annually; +2.56M residents 2020-2025</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World Population Review</w:t>
            </w:r>
          </w:p>
        </w:tc>
        <w:tc>
          <w:tcPr>
            <w:tcW w:type="dxa" w:w="1760"/>
            <w:tcBorders>
              <w:top w:val="single" w:color="CCCCCC" w:sz="1"/>
              <w:left w:val="single" w:color="CCCCCC" w:sz="1"/>
              <w:bottom w:val="single" w:color="CCCCCC" w:sz="1"/>
              <w:right w:val="single" w:color="CCCCCC" w:sz="1"/>
            </w:tcBorders>
            <w:tcMar>
              <w:top w:type="dxa" w:w="80"/>
              <w:left w:type="dxa" w:w="120"/>
              <w:bottom w:type="dxa" w:w="80"/>
              <w:right w:type="dxa" w:w="120"/>
            </w:tcMar>
          </w:tcPr>
          <w:p>
            <w:hyperlink w:history="1" r:id="rIdrday0fxbjrw3ycgfuwjqi">
              <w:r>
                <w:rPr>
                  <w:rStyle w:val="Hyperlink"/>
                  <w:rFonts w:ascii="Arial" w:cs="Arial" w:eastAsia="Arial" w:hAnsi="Arial"/>
                  <w:sz w:val="16"/>
                  <w:szCs w:val="16"/>
                </w:rPr>
                <w:t xml:space="preserve">Link</w:t>
              </w:r>
            </w:hyperlink>
          </w:p>
        </w:tc>
      </w:tr>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Florida Population Growth</w:t>
            </w:r>
          </w:p>
        </w:tc>
        <w:tc>
          <w:tcPr>
            <w:tcW w:type="dxa" w:w="32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1.24% annually; sustained domestic migration</w:t>
            </w:r>
          </w:p>
        </w:tc>
        <w:tc>
          <w:tcPr>
            <w:tcW w:type="dxa" w:w="20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World Population Review</w:t>
            </w:r>
          </w:p>
        </w:tc>
        <w:tc>
          <w:tcPr>
            <w:tcW w:type="dxa" w:w="176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hyperlink w:history="1" r:id="rIdxvcb0b4-brceq6b0rj0xa">
              <w:r>
                <w:rPr>
                  <w:rStyle w:val="Hyperlink"/>
                  <w:rFonts w:ascii="Arial" w:cs="Arial" w:eastAsia="Arial" w:hAnsi="Arial"/>
                  <w:sz w:val="16"/>
                  <w:szCs w:val="16"/>
                </w:rPr>
                <w:t xml:space="preserve">Link</w:t>
              </w:r>
            </w:hyperlink>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Georgia Population Growth</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0.94% annually; +1.33M residents 2010-2023 (13.74%)</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World Population Review</w:t>
            </w:r>
          </w:p>
        </w:tc>
        <w:tc>
          <w:tcPr>
            <w:tcW w:type="dxa" w:w="1760"/>
            <w:tcBorders>
              <w:top w:val="single" w:color="CCCCCC" w:sz="1"/>
              <w:left w:val="single" w:color="CCCCCC" w:sz="1"/>
              <w:bottom w:val="single" w:color="CCCCCC" w:sz="1"/>
              <w:right w:val="single" w:color="CCCCCC" w:sz="1"/>
            </w:tcBorders>
            <w:tcMar>
              <w:top w:type="dxa" w:w="80"/>
              <w:left w:type="dxa" w:w="120"/>
              <w:bottom w:type="dxa" w:w="80"/>
              <w:right w:type="dxa" w:w="120"/>
            </w:tcMar>
          </w:tcPr>
          <w:p>
            <w:hyperlink w:history="1" r:id="rId4zbmtmkem5xsyc4pcfe3q">
              <w:r>
                <w:rPr>
                  <w:rStyle w:val="Hyperlink"/>
                  <w:rFonts w:ascii="Arial" w:cs="Arial" w:eastAsia="Arial" w:hAnsi="Arial"/>
                  <w:sz w:val="16"/>
                  <w:szCs w:val="16"/>
                </w:rPr>
                <w:t xml:space="preserve">Link</w:t>
              </w:r>
            </w:hyperlink>
          </w:p>
        </w:tc>
      </w:tr>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Tennessee Growth</w:t>
            </w:r>
          </w:p>
        </w:tc>
        <w:tc>
          <w:tcPr>
            <w:tcW w:type="dxa" w:w="32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+207K residents 2020-2023; 4th in U-Haul Growth Index 2025</w:t>
            </w:r>
          </w:p>
        </w:tc>
        <w:tc>
          <w:tcPr>
            <w:tcW w:type="dxa" w:w="20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World Population Review / U-Haul</w:t>
            </w:r>
          </w:p>
        </w:tc>
        <w:tc>
          <w:tcPr>
            <w:tcW w:type="dxa" w:w="176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hyperlink w:history="1" r:id="rIday3sr7dcewsykdmnkv6vw">
              <w:r>
                <w:rPr>
                  <w:rStyle w:val="Hyperlink"/>
                  <w:rFonts w:ascii="Arial" w:cs="Arial" w:eastAsia="Arial" w:hAnsi="Arial"/>
                  <w:sz w:val="16"/>
                  <w:szCs w:val="16"/>
                </w:rPr>
                <w:t xml:space="preserve">Link</w:t>
              </w:r>
            </w:hyperlink>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Boom Belt GDP</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11-state region: $9 trillion annual GDP; absorbing 70% of US population growth</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Fox Business / Economic Analysis</w:t>
            </w:r>
          </w:p>
        </w:tc>
        <w:tc>
          <w:tcPr>
            <w:tcW w:type="dxa" w:w="1760"/>
            <w:tcBorders>
              <w:top w:val="single" w:color="CCCCCC" w:sz="1"/>
              <w:left w:val="single" w:color="CCCCCC" w:sz="1"/>
              <w:bottom w:val="single" w:color="CCCCCC" w:sz="1"/>
              <w:right w:val="single" w:color="CCCCCC" w:sz="1"/>
            </w:tcBorders>
            <w:tcMar>
              <w:top w:type="dxa" w:w="80"/>
              <w:left w:type="dxa" w:w="120"/>
              <w:bottom w:type="dxa" w:w="80"/>
              <w:right w:type="dxa" w:w="120"/>
            </w:tcMar>
          </w:tcPr>
          <w:p>
            <w:hyperlink w:history="1" r:id="rIdthwymfipt3oukwv7aichm">
              <w:r>
                <w:rPr>
                  <w:rStyle w:val="Hyperlink"/>
                  <w:rFonts w:ascii="Arial" w:cs="Arial" w:eastAsia="Arial" w:hAnsi="Arial"/>
                  <w:sz w:val="16"/>
                  <w:szCs w:val="16"/>
                </w:rPr>
                <w:t xml:space="preserve">Link</w:t>
              </w:r>
            </w:hyperlink>
          </w:p>
        </w:tc>
      </w:tr>
    </w:tbl>
    <w:p>
      <w:r>
        <w:br w:type="page"/>
      </w:r>
    </w:p>
    <w:p>
      <w:pPr>
        <w:pStyle w:val="Heading1"/>
      </w:pPr>
      <w:r>
        <w:t xml:space="preserve">5. Unit Economics Derivation</w:t>
      </w:r>
    </w:p>
    <w:p>
      <w:pPr>
        <w:spacing w:after="120"/>
      </w:pPr>
      <w:r>
        <w:rPr>
          <w:rFonts w:ascii="Arial" w:cs="Arial" w:eastAsia="Arial" w:hAnsi="Arial"/>
          <w:color w:val="333333"/>
          <w:sz w:val="22"/>
          <w:szCs w:val="22"/>
        </w:rPr>
        <w:t xml:space="preserve">The deck claims a $7,200 total platform fee over 3 years versus $45,800-$47,800 for a broker and $192K-$332K for an in-house team. The math is derived as follows:</w:t>
      </w:r>
    </w:p>
    <w:p>
      <w:pPr>
        <w:spacing w:after="120"/>
      </w:pPr>
      <w:r>
        <w:rPr>
          <w:rFonts w:ascii="Arial" w:cs="Arial" w:eastAsia="Arial" w:hAnsi="Arial"/>
          <w:b/>
          <w:bCs/>
          <w:color w:val="333333"/>
          <w:sz w:val="22"/>
          <w:szCs w:val="22"/>
        </w:rPr>
        <w:t xml:space="preserve">TBL Platform Fee: $7,200</w:t>
      </w:r>
    </w:p>
    <w:p>
      <w:pPr>
        <w:spacing w:after="120"/>
      </w:pPr>
      <w:r>
        <w:rPr>
          <w:rFonts w:ascii="Arial" w:cs="Arial" w:eastAsia="Arial" w:hAnsi="Arial"/>
          <w:color w:val="333333"/>
          <w:sz w:val="22"/>
          <w:szCs w:val="22"/>
        </w:rPr>
        <w:t xml:space="preserve">Based on a $10,000/month NNN commercial lease with a 36-month term ($360,000 total value). TBL charges 2% of each monthly payment: $200/month x 36 months = $7,200. All accounting (ASC 842), tax reporting, payment processing, market pricing, and renewal intelligence are included at no additional cost.</w:t>
      </w:r>
    </w:p>
    <w:p>
      <w:pPr>
        <w:spacing w:after="120"/>
      </w:pPr>
      <w:r>
        <w:rPr>
          <w:rFonts w:ascii="Arial" w:cs="Arial" w:eastAsia="Arial" w:hAnsi="Arial"/>
          <w:b/>
          <w:bCs/>
          <w:color w:val="333333"/>
          <w:sz w:val="22"/>
          <w:szCs w:val="22"/>
        </w:rPr>
        <w:t xml:space="preserve">Broker Model: $45,800-$47,800</w:t>
      </w:r>
    </w:p>
    <w:p>
      <w:pPr>
        <w:spacing w:after="120"/>
      </w:pPr>
      <w:r>
        <w:rPr>
          <w:rFonts w:ascii="Arial" w:cs="Arial" w:eastAsia="Arial" w:hAnsi="Arial"/>
          <w:color w:val="333333"/>
          <w:sz w:val="22"/>
          <w:szCs w:val="22"/>
        </w:rPr>
        <w:t xml:space="preserve">Broker commission at 5% average: $18,000. Lease accounting software ($5,000/yr x 3): $15,000. CPA lease review ($2,000/yr x 3): $6,000. Manual payment processing ($50/mo x 36): $1,800. Market comp research: $500-$2,000. Renewal negotiation (Year 3): $3,000-$5,000. Total: $45,800-$47,800.</w:t>
      </w:r>
    </w:p>
    <w:p>
      <w:pPr>
        <w:spacing w:after="120"/>
      </w:pPr>
      <w:r>
        <w:rPr>
          <w:rFonts w:ascii="Arial" w:cs="Arial" w:eastAsia="Arial" w:hAnsi="Arial"/>
          <w:b/>
          <w:bCs/>
          <w:color w:val="333333"/>
          <w:sz w:val="22"/>
          <w:szCs w:val="22"/>
        </w:rPr>
        <w:t xml:space="preserve">In-House Team: $192K-$332K</w:t>
      </w:r>
    </w:p>
    <w:p>
      <w:pPr>
        <w:spacing w:after="120"/>
      </w:pPr>
      <w:r>
        <w:rPr>
          <w:rFonts w:ascii="Arial" w:cs="Arial" w:eastAsia="Arial" w:hAnsi="Arial"/>
          <w:color w:val="333333"/>
          <w:sz w:val="22"/>
          <w:szCs w:val="22"/>
        </w:rPr>
        <w:t xml:space="preserve">Lease admin salary (2-3 FTE): $165K-$255K. Accounting software (3yr): $15,000. CPA lease review (3yr): $6,000. Payment processing: $1,800. Market comp research: $1,500. Overhead and training: $10K-$20K/yr ($30K-$60K over 3 years). Total: $192K-$332K. Source: Bureau of Labor Statistics median salary data for lease administrators and property managers.</w:t>
      </w:r>
    </w:p>
    <w:p>
      <w:pPr>
        <w:pBdr>
          <w:left w:val="single" w:color="CFA94A" w:sz="12" w:space="8"/>
        </w:pBdr>
        <w:spacing w:after="200" w:before="200"/>
        <w:ind w:left="360"/>
      </w:pPr>
      <w:r>
        <w:rPr>
          <w:rFonts w:ascii="Arial" w:cs="Arial" w:eastAsia="Arial" w:hAnsi="Arial"/>
          <w:i/>
          <w:iCs/>
          <w:color w:val="555555"/>
          <w:sz w:val="22"/>
          <w:szCs w:val="22"/>
        </w:rPr>
        <w:t xml:space="preserve">Net savings per deal over 3 years: $38,600-$40,600 versus broker; $185K-$325K versus in-house team. At 10,000 deals by Year 3, TBL earns $72M in platform revenue.</w:t>
      </w:r>
    </w:p>
    <w:p>
      <w:r>
        <w:br w:type="page"/>
      </w:r>
    </w:p>
    <w:p>
      <w:pPr>
        <w:pStyle w:val="Heading1"/>
      </w:pPr>
      <w:r>
        <w:t xml:space="preserve">6. Texas Pacific Land Corporation Comparison</w:t>
      </w:r>
    </w:p>
    <w:p>
      <w:pPr>
        <w:spacing w:after="120"/>
      </w:pPr>
      <w:r>
        <w:rPr>
          <w:rFonts w:ascii="Arial" w:cs="Arial" w:eastAsia="Arial" w:hAnsi="Arial"/>
          <w:color w:val="333333"/>
          <w:sz w:val="22"/>
          <w:szCs w:val="22"/>
        </w:rPr>
        <w:t xml:space="preserve">The deck references TPL as a model for TBL's long-term vision, particularly the lunar acreage thesis. The following data supports the comparison:</w:t>
      </w:r>
    </w:p>
    <w:p>
      <w:pPr>
        <w:pStyle w:val="Heading2"/>
      </w:pPr>
      <w:r>
        <w:t xml:space="preserve">TPL Financial &amp; Operating Data</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200"/>
        <w:gridCol w:w="2000"/>
        <w:gridCol w:w="1760"/>
      </w:tblGrid>
      <w:tr>
        <w:tc>
          <w:tcPr>
            <w:tcW w:type="dxa" w:w="24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Claim</w:t>
            </w:r>
          </w:p>
        </w:tc>
        <w:tc>
          <w:tcPr>
            <w:tcW w:type="dxa" w:w="32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Data Point</w:t>
            </w:r>
          </w:p>
        </w:tc>
        <w:tc>
          <w:tcPr>
            <w:tcW w:type="dxa" w:w="20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Source</w:t>
            </w:r>
          </w:p>
        </w:tc>
        <w:tc>
          <w:tcPr>
            <w:tcW w:type="dxa" w:w="176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Reference</w:t>
            </w:r>
          </w:p>
        </w:tc>
      </w:tr>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TPL EBITDA (2025)</w:t>
            </w:r>
          </w:p>
        </w:tc>
        <w:tc>
          <w:tcPr>
            <w:tcW w:type="dxa" w:w="32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$687.4 million adjusted EBITDA</w:t>
            </w:r>
          </w:p>
        </w:tc>
        <w:tc>
          <w:tcPr>
            <w:tcW w:type="dxa" w:w="20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TPL Q4 2025 Press Release</w:t>
            </w:r>
          </w:p>
        </w:tc>
        <w:tc>
          <w:tcPr>
            <w:tcW w:type="dxa" w:w="176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hyperlink w:history="1" r:id="rIdcaejihcxzrncxlhxvse8w">
              <w:r>
                <w:rPr>
                  <w:rStyle w:val="Hyperlink"/>
                  <w:rFonts w:ascii="Arial" w:cs="Arial" w:eastAsia="Arial" w:hAnsi="Arial"/>
                  <w:sz w:val="16"/>
                  <w:szCs w:val="16"/>
                </w:rPr>
                <w:t xml:space="preserve">Link</w:t>
              </w:r>
            </w:hyperlink>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TPL Surface Acreage</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~882,000 acres (majority in Permian Basin, West Texas)</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Texas Pacific Land Corporation</w:t>
            </w:r>
          </w:p>
        </w:tc>
        <w:tc>
          <w:tcPr>
            <w:tcW w:type="dxa" w:w="1760"/>
            <w:tcBorders>
              <w:top w:val="single" w:color="CCCCCC" w:sz="1"/>
              <w:left w:val="single" w:color="CCCCCC" w:sz="1"/>
              <w:bottom w:val="single" w:color="CCCCCC" w:sz="1"/>
              <w:right w:val="single" w:color="CCCCCC" w:sz="1"/>
            </w:tcBorders>
            <w:tcMar>
              <w:top w:type="dxa" w:w="80"/>
              <w:left w:type="dxa" w:w="120"/>
              <w:bottom w:type="dxa" w:w="80"/>
              <w:right w:type="dxa" w:w="120"/>
            </w:tcMar>
          </w:tcPr>
          <w:p>
            <w:hyperlink w:history="1" r:id="rIdbuidnr6e0hwbhlroxotyn">
              <w:r>
                <w:rPr>
                  <w:rStyle w:val="Hyperlink"/>
                  <w:rFonts w:ascii="Arial" w:cs="Arial" w:eastAsia="Arial" w:hAnsi="Arial"/>
                  <w:sz w:val="16"/>
                  <w:szCs w:val="16"/>
                </w:rPr>
                <w:t xml:space="preserve">Link</w:t>
              </w:r>
            </w:hyperlink>
          </w:p>
        </w:tc>
      </w:tr>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TPL Business Model</w:t>
            </w:r>
          </w:p>
        </w:tc>
        <w:tc>
          <w:tcPr>
            <w:tcW w:type="dxa" w:w="32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Royalties, easements, water sales, surface leases on legacy land holdings</w:t>
            </w:r>
          </w:p>
        </w:tc>
        <w:tc>
          <w:tcPr>
            <w:tcW w:type="dxa" w:w="20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TPL SEC 10-K Filing</w:t>
            </w:r>
          </w:p>
        </w:tc>
        <w:tc>
          <w:tcPr>
            <w:tcW w:type="dxa" w:w="176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N/A</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TPL Margins</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60%+ operating margins on royalty and easement income</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TPL Financial Statements</w:t>
            </w:r>
          </w:p>
        </w:tc>
        <w:tc>
          <w:tcPr>
            <w:tcW w:type="dxa" w:w="1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N/A</w:t>
            </w:r>
          </w:p>
        </w:tc>
      </w:tr>
    </w:tbl>
    <w:p>
      <w:pPr>
        <w:spacing w:after="0" w:before="120"/>
      </w:pPr>
    </w:p>
    <w:p>
      <w:pPr>
        <w:pBdr>
          <w:left w:val="single" w:color="CFA94A" w:sz="12" w:space="8"/>
        </w:pBdr>
        <w:spacing w:after="200" w:before="200"/>
        <w:ind w:left="360"/>
      </w:pPr>
      <w:r>
        <w:rPr>
          <w:rFonts w:ascii="Arial" w:cs="Arial" w:eastAsia="Arial" w:hAnsi="Arial"/>
          <w:i/>
          <w:iCs/>
          <w:color w:val="555555"/>
          <w:sz w:val="22"/>
          <w:szCs w:val="22"/>
        </w:rPr>
        <w:t xml:space="preserve">The TPL comparison illustrates how a land-based lease and royalty model generates exceptional margins with minimal operating cost. TBL replicates this model digitally across terrestrial leasing, and physically on lunar surface acreage as the Artemis program matures.</w:t>
      </w:r>
    </w:p>
    <w:p>
      <w:r>
        <w:br w:type="page"/>
      </w:r>
    </w:p>
    <w:p>
      <w:pPr>
        <w:pStyle w:val="Heading1"/>
      </w:pPr>
      <w:r>
        <w:t xml:space="preserve">7. Next-Generation Energy &amp; Space Resources</w:t>
      </w:r>
    </w:p>
    <w:p>
      <w:pPr>
        <w:pStyle w:val="Heading2"/>
      </w:pPr>
      <w:r>
        <w:t xml:space="preserve">Artemis Program &amp; Lunar Resources</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200"/>
        <w:gridCol w:w="2000"/>
        <w:gridCol w:w="1760"/>
      </w:tblGrid>
      <w:tr>
        <w:tc>
          <w:tcPr>
            <w:tcW w:type="dxa" w:w="24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Claim</w:t>
            </w:r>
          </w:p>
        </w:tc>
        <w:tc>
          <w:tcPr>
            <w:tcW w:type="dxa" w:w="32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Data Point</w:t>
            </w:r>
          </w:p>
        </w:tc>
        <w:tc>
          <w:tcPr>
            <w:tcW w:type="dxa" w:w="20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Source</w:t>
            </w:r>
          </w:p>
        </w:tc>
        <w:tc>
          <w:tcPr>
            <w:tcW w:type="dxa" w:w="176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Reference</w:t>
            </w:r>
          </w:p>
        </w:tc>
      </w:tr>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Artemis II Mission</w:t>
            </w:r>
          </w:p>
        </w:tc>
        <w:tc>
          <w:tcPr>
            <w:tcW w:type="dxa" w:w="32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Splashdown completed April 10, 2026; 10-day crewed lunar fly-by</w:t>
            </w:r>
          </w:p>
        </w:tc>
        <w:tc>
          <w:tcPr>
            <w:tcW w:type="dxa" w:w="20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NASA</w:t>
            </w:r>
          </w:p>
        </w:tc>
        <w:tc>
          <w:tcPr>
            <w:tcW w:type="dxa" w:w="176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hyperlink w:history="1" r:id="rIdpuowkyh2ygjlmltzgnlhq">
              <w:r>
                <w:rPr>
                  <w:rStyle w:val="Hyperlink"/>
                  <w:rFonts w:ascii="Arial" w:cs="Arial" w:eastAsia="Arial" w:hAnsi="Arial"/>
                  <w:sz w:val="16"/>
                  <w:szCs w:val="16"/>
                </w:rPr>
                <w:t xml:space="preserve">Link</w:t>
              </w:r>
            </w:hyperlink>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Artemis II Launch</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Launched April 1, 2026 from Kennedy Space Center</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NASA</w:t>
            </w:r>
          </w:p>
        </w:tc>
        <w:tc>
          <w:tcPr>
            <w:tcW w:type="dxa" w:w="1760"/>
            <w:tcBorders>
              <w:top w:val="single" w:color="CCCCCC" w:sz="1"/>
              <w:left w:val="single" w:color="CCCCCC" w:sz="1"/>
              <w:bottom w:val="single" w:color="CCCCCC" w:sz="1"/>
              <w:right w:val="single" w:color="CCCCCC" w:sz="1"/>
            </w:tcBorders>
            <w:tcMar>
              <w:top w:type="dxa" w:w="80"/>
              <w:left w:type="dxa" w:w="120"/>
              <w:bottom w:type="dxa" w:w="80"/>
              <w:right w:type="dxa" w:w="120"/>
            </w:tcMar>
          </w:tcPr>
          <w:p>
            <w:hyperlink w:history="1" r:id="rIdhf54jv--nvfp4yva6li7o">
              <w:r>
                <w:rPr>
                  <w:rStyle w:val="Hyperlink"/>
                  <w:rFonts w:ascii="Arial" w:cs="Arial" w:eastAsia="Arial" w:hAnsi="Arial"/>
                  <w:sz w:val="16"/>
                  <w:szCs w:val="16"/>
                </w:rPr>
                <w:t xml:space="preserve">Link</w:t>
              </w:r>
            </w:hyperlink>
          </w:p>
        </w:tc>
      </w:tr>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Interlune Helium-3 Agreement</w:t>
            </w:r>
          </w:p>
        </w:tc>
        <w:tc>
          <w:tcPr>
            <w:tcW w:type="dxa" w:w="32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DOE purchased 3 liters of He-3; delivery by April 2029 at market price</w:t>
            </w:r>
          </w:p>
        </w:tc>
        <w:tc>
          <w:tcPr>
            <w:tcW w:type="dxa" w:w="20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Interlune / DOE Isotope Program</w:t>
            </w:r>
          </w:p>
        </w:tc>
        <w:tc>
          <w:tcPr>
            <w:tcW w:type="dxa" w:w="176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hyperlink w:history="1" r:id="rIdcvkg0xzwka38nxiem0skt">
              <w:r>
                <w:rPr>
                  <w:rStyle w:val="Hyperlink"/>
                  <w:rFonts w:ascii="Arial" w:cs="Arial" w:eastAsia="Arial" w:hAnsi="Arial"/>
                  <w:sz w:val="16"/>
                  <w:szCs w:val="16"/>
                </w:rPr>
                <w:t xml:space="preserve">Link</w:t>
              </w:r>
            </w:hyperlink>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Lunar Resource Legal Framework</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Outer Space Treaty (1967): prohibits national sovereignty but silent on resource extraction</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UN Office for Outer Space Affairs</w:t>
            </w:r>
          </w:p>
        </w:tc>
        <w:tc>
          <w:tcPr>
            <w:tcW w:type="dxa" w:w="1760"/>
            <w:tcBorders>
              <w:top w:val="single" w:color="CCCCCC" w:sz="1"/>
              <w:left w:val="single" w:color="CCCCCC" w:sz="1"/>
              <w:bottom w:val="single" w:color="CCCCCC" w:sz="1"/>
              <w:right w:val="single" w:color="CCCCCC" w:sz="1"/>
            </w:tcBorders>
            <w:tcMar>
              <w:top w:type="dxa" w:w="80"/>
              <w:left w:type="dxa" w:w="120"/>
              <w:bottom w:type="dxa" w:w="80"/>
              <w:right w:type="dxa" w:w="120"/>
            </w:tcMar>
          </w:tcPr>
          <w:p>
            <w:hyperlink w:history="1" r:id="rId-gaycx4nxl6lamcsygvhk">
              <w:r>
                <w:rPr>
                  <w:rStyle w:val="Hyperlink"/>
                  <w:rFonts w:ascii="Arial" w:cs="Arial" w:eastAsia="Arial" w:hAnsi="Arial"/>
                  <w:sz w:val="16"/>
                  <w:szCs w:val="16"/>
                </w:rPr>
                <w:t xml:space="preserve">Link</w:t>
              </w:r>
            </w:hyperlink>
          </w:p>
        </w:tc>
      </w:tr>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US Space Resource Rights</w:t>
            </w:r>
          </w:p>
        </w:tc>
        <w:tc>
          <w:tcPr>
            <w:tcW w:type="dxa" w:w="32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Commercial Space Launch Competitiveness Act (2015): US citizens may own extracted space resources</w:t>
            </w:r>
          </w:p>
        </w:tc>
        <w:tc>
          <w:tcPr>
            <w:tcW w:type="dxa" w:w="20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Congress.gov</w:t>
            </w:r>
          </w:p>
        </w:tc>
        <w:tc>
          <w:tcPr>
            <w:tcW w:type="dxa" w:w="176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hyperlink w:history="1" r:id="rIdjyte5w5_hqj6jbi4vk4bf">
              <w:r>
                <w:rPr>
                  <w:rStyle w:val="Hyperlink"/>
                  <w:rFonts w:ascii="Arial" w:cs="Arial" w:eastAsia="Arial" w:hAnsi="Arial"/>
                  <w:sz w:val="16"/>
                  <w:szCs w:val="16"/>
                </w:rPr>
                <w:t xml:space="preserve">Link</w:t>
              </w:r>
            </w:hyperlink>
          </w:p>
        </w:tc>
      </w:tr>
    </w:tbl>
    <w:p>
      <w:pPr>
        <w:spacing w:after="0" w:before="120"/>
      </w:pPr>
    </w:p>
    <w:p>
      <w:pPr>
        <w:pStyle w:val="Heading2"/>
      </w:pPr>
      <w:r>
        <w:t xml:space="preserve">Advanced Nuclear Energy</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200"/>
        <w:gridCol w:w="2000"/>
        <w:gridCol w:w="1760"/>
      </w:tblGrid>
      <w:tr>
        <w:tc>
          <w:tcPr>
            <w:tcW w:type="dxa" w:w="24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Claim</w:t>
            </w:r>
          </w:p>
        </w:tc>
        <w:tc>
          <w:tcPr>
            <w:tcW w:type="dxa" w:w="32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Data Point</w:t>
            </w:r>
          </w:p>
        </w:tc>
        <w:tc>
          <w:tcPr>
            <w:tcW w:type="dxa" w:w="20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Source</w:t>
            </w:r>
          </w:p>
        </w:tc>
        <w:tc>
          <w:tcPr>
            <w:tcW w:type="dxa" w:w="176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Reference</w:t>
            </w:r>
          </w:p>
        </w:tc>
      </w:tr>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Natura MSR-1 Reactor</w:t>
            </w:r>
          </w:p>
        </w:tc>
        <w:tc>
          <w:tcPr>
            <w:tcW w:type="dxa" w:w="32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First NRC-approved liquid-fueled advanced reactor; 1-MW capacity; deployed 2026</w:t>
            </w:r>
          </w:p>
        </w:tc>
        <w:tc>
          <w:tcPr>
            <w:tcW w:type="dxa" w:w="20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NRC / Natura Resources / NEXTRA Alliance</w:t>
            </w:r>
          </w:p>
        </w:tc>
        <w:tc>
          <w:tcPr>
            <w:tcW w:type="dxa" w:w="176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hyperlink w:history="1" r:id="rIdcdqp_0ptslimzaviuj12b">
              <w:r>
                <w:rPr>
                  <w:rStyle w:val="Hyperlink"/>
                  <w:rFonts w:ascii="Arial" w:cs="Arial" w:eastAsia="Arial" w:hAnsi="Arial"/>
                  <w:sz w:val="16"/>
                  <w:szCs w:val="16"/>
                </w:rPr>
                <w:t xml:space="preserve">Link</w:t>
              </w:r>
            </w:hyperlink>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JJ Pickle Research Center</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1.1 MW steady-state TRIGA Mark II reactor; 475-acre campus, NW Austin, TX</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UT-Austin / NRC</w:t>
            </w:r>
          </w:p>
        </w:tc>
        <w:tc>
          <w:tcPr>
            <w:tcW w:type="dxa" w:w="1760"/>
            <w:tcBorders>
              <w:top w:val="single" w:color="CCCCCC" w:sz="1"/>
              <w:left w:val="single" w:color="CCCCCC" w:sz="1"/>
              <w:bottom w:val="single" w:color="CCCCCC" w:sz="1"/>
              <w:right w:val="single" w:color="CCCCCC" w:sz="1"/>
            </w:tcBorders>
            <w:tcMar>
              <w:top w:type="dxa" w:w="80"/>
              <w:left w:type="dxa" w:w="120"/>
              <w:bottom w:type="dxa" w:w="80"/>
              <w:right w:type="dxa" w:w="120"/>
            </w:tcMar>
          </w:tcPr>
          <w:p>
            <w:hyperlink w:history="1" r:id="rIdmg8slvylwhwtdwbtrnzgu">
              <w:r>
                <w:rPr>
                  <w:rStyle w:val="Hyperlink"/>
                  <w:rFonts w:ascii="Arial" w:cs="Arial" w:eastAsia="Arial" w:hAnsi="Arial"/>
                  <w:sz w:val="16"/>
                  <w:szCs w:val="16"/>
                </w:rPr>
                <w:t xml:space="preserve">Link</w:t>
              </w:r>
            </w:hyperlink>
          </w:p>
        </w:tc>
      </w:tr>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US Research Reactors</w:t>
            </w:r>
          </w:p>
        </w:tc>
        <w:tc>
          <w:tcPr>
            <w:tcW w:type="dxa" w:w="32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31 operating research reactors in the US (one of which is JJ Pickle)</w:t>
            </w:r>
          </w:p>
        </w:tc>
        <w:tc>
          <w:tcPr>
            <w:tcW w:type="dxa" w:w="20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Nuclear Regulatory Commission</w:t>
            </w:r>
          </w:p>
        </w:tc>
        <w:tc>
          <w:tcPr>
            <w:tcW w:type="dxa" w:w="176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N/A</w:t>
            </w:r>
          </w:p>
        </w:tc>
      </w:tr>
    </w:tbl>
    <w:p>
      <w:r>
        <w:br w:type="page"/>
      </w:r>
    </w:p>
    <w:p>
      <w:pPr>
        <w:pStyle w:val="Heading1"/>
      </w:pPr>
      <w:r>
        <w:t xml:space="preserve">8. Municipal Bond Market</w:t>
      </w:r>
    </w:p>
    <w:p>
      <w:pPr>
        <w:pStyle w:val="Heading2"/>
      </w:pPr>
      <w:r>
        <w:t xml:space="preserve">Municipal Bond Data</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200"/>
        <w:gridCol w:w="2000"/>
        <w:gridCol w:w="1760"/>
      </w:tblGrid>
      <w:tr>
        <w:tc>
          <w:tcPr>
            <w:tcW w:type="dxa" w:w="24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Claim</w:t>
            </w:r>
          </w:p>
        </w:tc>
        <w:tc>
          <w:tcPr>
            <w:tcW w:type="dxa" w:w="32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Data Point</w:t>
            </w:r>
          </w:p>
        </w:tc>
        <w:tc>
          <w:tcPr>
            <w:tcW w:type="dxa" w:w="20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Source</w:t>
            </w:r>
          </w:p>
        </w:tc>
        <w:tc>
          <w:tcPr>
            <w:tcW w:type="dxa" w:w="176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tcPr>
          <w:p>
            <w:r>
              <w:rPr>
                <w:rFonts w:ascii="Arial" w:cs="Arial" w:eastAsia="Arial" w:hAnsi="Arial"/>
                <w:b/>
                <w:bCs/>
                <w:color w:val="FFFFFF"/>
                <w:sz w:val="18"/>
                <w:szCs w:val="18"/>
              </w:rPr>
              <w:t xml:space="preserve">Reference</w:t>
            </w:r>
          </w:p>
        </w:tc>
      </w:tr>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2025 Issuance Volume</w:t>
            </w:r>
          </w:p>
        </w:tc>
        <w:tc>
          <w:tcPr>
            <w:tcW w:type="dxa" w:w="32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$580 billion (record year); tax-exempt $522.6B (+16% vs 2024)</w:t>
            </w:r>
          </w:p>
        </w:tc>
        <w:tc>
          <w:tcPr>
            <w:tcW w:type="dxa" w:w="20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The Bond Buyer</w:t>
            </w:r>
          </w:p>
        </w:tc>
        <w:tc>
          <w:tcPr>
            <w:tcW w:type="dxa" w:w="176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hyperlink w:history="1" r:id="rId4n_bx1mjirxblee1h-zuq">
              <w:r>
                <w:rPr>
                  <w:rStyle w:val="Hyperlink"/>
                  <w:rFonts w:ascii="Arial" w:cs="Arial" w:eastAsia="Arial" w:hAnsi="Arial"/>
                  <w:sz w:val="16"/>
                  <w:szCs w:val="16"/>
                </w:rPr>
                <w:t xml:space="preserve">Link</w:t>
              </w:r>
            </w:hyperlink>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Outstanding Muni Debt</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$4+ trillion in total outstanding municipal bond debt</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SIFMA / Federal Reserve</w:t>
            </w:r>
          </w:p>
        </w:tc>
        <w:tc>
          <w:tcPr>
            <w:tcW w:type="dxa" w:w="1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18"/>
                <w:szCs w:val="18"/>
              </w:rPr>
              <w:t xml:space="preserve">N/A</w:t>
            </w:r>
          </w:p>
        </w:tc>
      </w:tr>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Market Fragmentation</w:t>
            </w:r>
          </w:p>
        </w:tc>
        <w:tc>
          <w:tcPr>
            <w:tcW w:type="dxa" w:w="32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~50,000 state and local issuers; highly manual processes</w:t>
            </w:r>
          </w:p>
        </w:tc>
        <w:tc>
          <w:tcPr>
            <w:tcW w:type="dxa" w:w="20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MSRB / Industry analysis</w:t>
            </w:r>
          </w:p>
        </w:tc>
        <w:tc>
          <w:tcPr>
            <w:tcW w:type="dxa" w:w="176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color w:val="222222"/>
                <w:sz w:val="18"/>
                <w:szCs w:val="18"/>
              </w:rPr>
              <w:t xml:space="preserve">N/A</w:t>
            </w:r>
          </w:p>
        </w:tc>
      </w:tr>
    </w:tbl>
    <w:p>
      <w:pPr>
        <w:spacing w:after="0" w:before="120"/>
      </w:pPr>
    </w:p>
    <w:p>
      <w:pPr>
        <w:pBdr>
          <w:left w:val="single" w:color="CFA94A" w:sz="12" w:space="8"/>
        </w:pBdr>
        <w:spacing w:after="200" w:before="200"/>
        <w:ind w:left="360"/>
      </w:pPr>
      <w:r>
        <w:rPr>
          <w:rFonts w:ascii="Arial" w:cs="Arial" w:eastAsia="Arial" w:hAnsi="Arial"/>
          <w:i/>
          <w:iCs/>
          <w:color w:val="555555"/>
          <w:sz w:val="22"/>
          <w:szCs w:val="22"/>
        </w:rPr>
        <w:t xml:space="preserve">Estable Corporation targets automation of muni bond issuance, compliance, and lifecycle management. The $4T+ market remains highly fragmented with thousands of issuers relying on manual, paper-based processes.</w:t>
      </w:r>
    </w:p>
    <w:p>
      <w:r>
        <w:br w:type="page"/>
      </w:r>
    </w:p>
    <w:p>
      <w:pPr>
        <w:pStyle w:val="Heading1"/>
      </w:pPr>
      <w:r>
        <w:t xml:space="preserve">Disclaimer</w:t>
      </w:r>
    </w:p>
    <w:p>
      <w:pPr>
        <w:spacing w:after="120"/>
      </w:pPr>
      <w:r>
        <w:rPr>
          <w:rFonts w:ascii="Arial" w:cs="Arial" w:eastAsia="Arial" w:hAnsi="Arial"/>
          <w:color w:val="333333"/>
          <w:sz w:val="22"/>
          <w:szCs w:val="22"/>
        </w:rPr>
        <w:t xml:space="preserve">This document is provided for informational purposes only and does not constitute an offer to sell, a solicitation of an offer to buy, or a recommendation of any security or investment. The information contained herein has been compiled from sources believed to be reliable, but no representation or warranty, express or implied, is made as to its accuracy, completeness, or timeliness.</w:t>
      </w:r>
    </w:p>
    <w:p>
      <w:pPr>
        <w:spacing w:after="120"/>
      </w:pPr>
      <w:r>
        <w:rPr>
          <w:rFonts w:ascii="Arial" w:cs="Arial" w:eastAsia="Arial" w:hAnsi="Arial"/>
          <w:color w:val="333333"/>
          <w:sz w:val="22"/>
          <w:szCs w:val="22"/>
        </w:rPr>
        <w:t xml:space="preserve">Forward-looking statements, projections, and estimates contained in this document and the accompanying investor materials are based on management assumptions and are subject to significant risks and uncertainties. Actual results may differ materially from those projected. Past performance of referenced companies (including Texas Pacific Land Corporation, CoStar Group, and others) is not indicative of future results for The Big Lease or Estable Corporation.</w:t>
      </w:r>
    </w:p>
    <w:p>
      <w:pPr>
        <w:spacing w:after="120"/>
      </w:pPr>
      <w:r>
        <w:rPr>
          <w:rFonts w:ascii="Arial" w:cs="Arial" w:eastAsia="Arial" w:hAnsi="Arial"/>
          <w:color w:val="333333"/>
          <w:sz w:val="22"/>
          <w:szCs w:val="22"/>
        </w:rPr>
        <w:t xml:space="preserve">Prospective investors should conduct their own due diligence and consult with qualified legal, tax, and financial advisors before making any investment decision. This document is confidential and subject to the terms of the accompanying Non-Disclosure Agreement.</w:t>
      </w:r>
    </w:p>
    <w:p>
      <w:pPr>
        <w:spacing w:after="0" w:before="200"/>
      </w:pPr>
    </w:p>
    <w:p>
      <w:pPr>
        <w:pBdr>
          <w:top w:val="single" w:color="CFA94A" w:sz="4" w:space="8"/>
        </w:pBdr>
        <w:spacing w:before="200"/>
        <w:jc w:val="center"/>
      </w:pPr>
      <w:r>
        <w:rPr>
          <w:rFonts w:ascii="Arial" w:cs="Arial" w:eastAsia="Arial" w:hAnsi="Arial"/>
          <w:color w:val="888888"/>
          <w:sz w:val="18"/>
          <w:szCs w:val="18"/>
        </w:rPr>
        <w:t xml:space="preserve">Estable Corporation  |  Austin, TX  |  max@thebiglease.ai</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AAAAAA"/>
        <w:sz w:val="16"/>
        <w:szCs w:val="16"/>
      </w:rPr>
      <w:t xml:space="preserve">Page </w:t>
    </w:r>
    <w:r>
      <w:rPr>
        <w:rFonts w:ascii="Arial" w:cs="Arial" w:eastAsia="Arial" w:hAnsi="Arial"/>
        <w:color w:val="AAAAA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AAAAAA"/>
        <w:sz w:val="16"/>
        <w:szCs w:val="16"/>
      </w:rPr>
      <w:t xml:space="preserve">The Big Lease  |  Data Sources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Georgia" w:cs="Georgia" w:eastAsia="Georgia" w:hAnsi="Georgia"/>
      <w:b/>
      <w:bCs/>
      <w:color w:val="070B11"/>
      <w:sz w:val="36"/>
      <w:szCs w:val="36"/>
    </w:rPr>
  </w:style>
  <w:style w:type="paragraph" w:styleId="Heading2">
    <w:name w:val="Heading 2"/>
    <w:basedOn w:val="Normal"/>
    <w:next w:val="Normal"/>
    <w:qFormat/>
    <w:pPr>
      <w:spacing w:after="180" w:before="240"/>
      <w:outlineLvl w:val="1"/>
    </w:pPr>
    <w:rPr>
      <w:rFonts w:ascii="Georgia" w:cs="Georgia" w:eastAsia="Georgia" w:hAnsi="Georgia"/>
      <w:b/>
      <w:bCs/>
      <w:color w:val="333333"/>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yesofub8jzulswmejh5rw" Type="http://schemas.openxmlformats.org/officeDocument/2006/relationships/hyperlink" Target="https://www.elfaonline.org" TargetMode="External"/><Relationship Id="rIdjtpuxwpg6jpasf6qa2pea" Type="http://schemas.openxmlformats.org/officeDocument/2006/relationships/hyperlink" Target="https://www.elfaonline.org/newsroom/cfi-december-2025" TargetMode="External"/><Relationship Id="rIdr3qkuzmatqvzitezrvez6" Type="http://schemas.openxmlformats.org/officeDocument/2006/relationships/hyperlink" Target="https://www.imarcgroup.com/united-states-commercial-real-estate-market" TargetMode="External"/><Relationship Id="rIduz8vvoldc72n9zpcp2kvn" Type="http://schemas.openxmlformats.org/officeDocument/2006/relationships/hyperlink" Target="https://www.fortunebusinessinsights.com/car-rental-leasing-market-107517" TargetMode="External"/><Relationship Id="rIdkkze7vyvlvmi4mbyiyhrg" Type="http://schemas.openxmlformats.org/officeDocument/2006/relationships/hyperlink" Target="https://trerc.tamu.edu/article/commercial-fall-2025/" TargetMode="External"/><Relationship Id="rIdpxhuwm_rqp-gs4pn1fkwb" Type="http://schemas.openxmlformats.org/officeDocument/2006/relationships/hyperlink" Target="https://finance.yahoo.com/quote/CSGP/" TargetMode="External"/><Relationship Id="rIdpvcgl7zrnsomgfvxhqt0q" Type="http://schemas.openxmlformats.org/officeDocument/2006/relationships/hyperlink" Target="https://stockanalysis.com/stocks/csgp/revenue/" TargetMode="External"/><Relationship Id="rIdxq83a46lsc76u3dbnrznn" Type="http://schemas.openxmlformats.org/officeDocument/2006/relationships/hyperlink" Target="https://www.sec.gov/cgi-bin/browse-edgar?action=getcompany&amp;CIK=CSGP" TargetMode="External"/><Relationship Id="rIdvoj4aucw-rxp98aoxxkvf" Type="http://schemas.openxmlformats.org/officeDocument/2006/relationships/hyperlink" Target="https://carboncredits.com/ai-demand-to-drive-600b-from-the-big-five-for-gpu-and-data-center-boom-by-2026/" TargetMode="External"/><Relationship Id="rIdxkh8uvystcukx6n0fjsnr" Type="http://schemas.openxmlformats.org/officeDocument/2006/relationships/hyperlink" Target="https://news.constructconnect.com/january-2026-data-center-report-spending-surges-fivefold-in-two-years" TargetMode="External"/><Relationship Id="rIdsv11d9obkbk4mrkuirfsd" Type="http://schemas.openxmlformats.org/officeDocument/2006/relationships/hyperlink" Target="https://www.iea.org/reports/energy-and-ai/energy-demand-from-ai" TargetMode="External"/><Relationship Id="rId2rae_jbtixpoxmpzkef18" Type="http://schemas.openxmlformats.org/officeDocument/2006/relationships/hyperlink" Target="https://vernickfinancial.com/insights/the-latest-from-the-silver-tsunami-boomer-retirement-stats" TargetMode="External"/><Relationship Id="rIdglhqaa4gxfsprrqpnyi2f" Type="http://schemas.openxmlformats.org/officeDocument/2006/relationships/hyperlink" Target="https://www.cerulli.com/press-releases/cerulli-anticipates-124-trillion-in-wealth-will-transfer-through-2048" TargetMode="External"/><Relationship Id="rId0lvnksvyae2s7cgaab-y9" Type="http://schemas.openxmlformats.org/officeDocument/2006/relationships/hyperlink" Target="https://taxfoundation.org/data/all/state/state-income-tax-rates-2026/" TargetMode="External"/><Relationship Id="rIdrday0fxbjrw3ycgfuwjqi" Type="http://schemas.openxmlformats.org/officeDocument/2006/relationships/hyperlink" Target="https://worldpopulationreview.com/state-rankings/fastest-growing-states" TargetMode="External"/><Relationship Id="rIdxvcb0b4-brceq6b0rj0xa" Type="http://schemas.openxmlformats.org/officeDocument/2006/relationships/hyperlink" Target="https://worldpopulationreview.com/state-rankings/fastest-growing-states" TargetMode="External"/><Relationship Id="rId4zbmtmkem5xsyc4pcfe3q" Type="http://schemas.openxmlformats.org/officeDocument/2006/relationships/hyperlink" Target="https://worldpopulationreview.com/state-rankings/fastest-growing-states" TargetMode="External"/><Relationship Id="rIday3sr7dcewsykdmnkv6vw" Type="http://schemas.openxmlformats.org/officeDocument/2006/relationships/hyperlink" Target="https://worldpopulationreview.com/state-rankings/fastest-growing-states" TargetMode="External"/><Relationship Id="rIdthwymfipt3oukwv7aichm" Type="http://schemas.openxmlformats.org/officeDocument/2006/relationships/hyperlink" Target="https://www.foxbusiness.com/politics/new-economic-iron-curtain-falling-across-america-trillions-wealth-flee-boom-belt" TargetMode="External"/><Relationship Id="rIdcaejihcxzrncxlhxvse8w" Type="http://schemas.openxmlformats.org/officeDocument/2006/relationships/hyperlink" Target="https://www.texaspacific.com/investors/news-events/press-releases/detail/179/texas-pacific-land-corporation-announces-fourth-quarter-and" TargetMode="External"/><Relationship Id="rIdbuidnr6e0hwbhlroxotyn" Type="http://schemas.openxmlformats.org/officeDocument/2006/relationships/hyperlink" Target="https://www.texaspacific.com/assets/surface-acreage" TargetMode="External"/><Relationship Id="rIdpuowkyh2ygjlmltzgnlhq" Type="http://schemas.openxmlformats.org/officeDocument/2006/relationships/hyperlink" Target="https://www.nasa.gov/blogs/missions/2026/04/10/artemis-ii-flight-day-10-re-entry-live-updates/" TargetMode="External"/><Relationship Id="rIdhf54jv--nvfp4yva6li7o" Type="http://schemas.openxmlformats.org/officeDocument/2006/relationships/hyperlink" Target="https://www.nasa.gov/blogs/missions/2026/04/01/live-artemis-ii-launch-day-updates/" TargetMode="External"/><Relationship Id="rIdcvkg0xzwka38nxiem0skt" Type="http://schemas.openxmlformats.org/officeDocument/2006/relationships/hyperlink" Target="https://www.interlune.space/press-release/u-s-department-of-energy-buys-helium-3-from-u-s-space-resources-company-interlune-in-historic-agreement" TargetMode="External"/><Relationship Id="rId-gaycx4nxl6lamcsygvhk" Type="http://schemas.openxmlformats.org/officeDocument/2006/relationships/hyperlink" Target="https://www.unoosa.org/oosa/en/ourwork/spacelaw/treaties/introouterspacetreaty.html" TargetMode="External"/><Relationship Id="rIdjyte5w5_hqj6jbi4vk4bf" Type="http://schemas.openxmlformats.org/officeDocument/2006/relationships/hyperlink" Target="https://www.congress.gov/114/plaws/publ90/PLAW-114publ90.pdf" TargetMode="External"/><Relationship Id="rIdcdqp_0ptslimzaviuj12b" Type="http://schemas.openxmlformats.org/officeDocument/2006/relationships/hyperlink" Target="https://interestingengineering.com/energy/us-nrc-permit-first-advanced-liquid-salt-fueled-nuclear-reactor" TargetMode="External"/><Relationship Id="rIdmg8slvylwhwtdwbtrnzgu" Type="http://schemas.openxmlformats.org/officeDocument/2006/relationships/hyperlink" Target="https://www.nrc.gov/docs/ML0809/ML080950122.pdf" TargetMode="External"/><Relationship Id="rId4n_bx1mjirxblee1h-zuq" Type="http://schemas.openxmlformats.org/officeDocument/2006/relationships/hyperlink" Target="https://www.bondbuyer.com/news/2025-volume-sets-record" TargetMode="External"/><Relationship Id="rId3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2026-04-12T04:11:14.461Z</dcterms:created>
  <dcterms:modified xsi:type="dcterms:W3CDTF">2026-04-12T04:11:14.462Z</dcterms:modified>
</cp:coreProperties>
</file>

<file path=docProps/custom.xml><?xml version="1.0" encoding="utf-8"?>
<Properties xmlns="http://schemas.openxmlformats.org/officeDocument/2006/custom-properties" xmlns:vt="http://schemas.openxmlformats.org/officeDocument/2006/docPropsVTypes"/>
</file>