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0" w:before="1200"/>
      </w:pPr>
    </w:p>
    <w:p>
      <w:pPr>
        <w:spacing w:after="0"/>
        <w:jc w:val="center"/>
      </w:pPr>
      <w:r>
        <w:rPr>
          <w:rFonts w:ascii="Georgia" w:cs="Georgia" w:eastAsia="Georgia" w:hAnsi="Georgia"/>
          <w:b/>
          <w:bCs/>
          <w:color w:val="1A2332"/>
          <w:sz w:val="56"/>
          <w:szCs w:val="56"/>
        </w:rPr>
        <w:t xml:space="preserve">T H E   B I G   L E A S E</w:t>
      </w:r>
    </w:p>
    <w:p>
      <w:pPr>
        <w:spacing w:after="200"/>
        <w:jc w:val="center"/>
      </w:pPr>
      <w:r>
        <w:rPr>
          <w:rFonts w:ascii="Georgia" w:cs="Georgia" w:eastAsia="Georgia" w:hAnsi="Georgia"/>
          <w:i/>
          <w:iCs/>
          <w:color w:val="CFA94A"/>
          <w:sz w:val="32"/>
          <w:szCs w:val="32"/>
        </w:rPr>
        <w:t xml:space="preserve">Dominating the Boom Belt</w:t>
      </w:r>
    </w:p>
    <w:p>
      <w:pPr>
        <w:pBdr>
          <w:bottom w:val="single" w:color="CFA94A" w:sz="4" w:space="6"/>
        </w:pBdr>
        <w:spacing w:after="0"/>
        <w:jc w:val="center"/>
      </w:pPr>
    </w:p>
    <w:p>
      <w:pPr>
        <w:spacing w:after="200" w:before="200"/>
      </w:pPr>
    </w:p>
    <w:p>
      <w:pPr>
        <w:spacing w:after="80"/>
        <w:jc w:val="center"/>
      </w:pPr>
      <w:r>
        <w:rPr>
          <w:rFonts w:ascii="Arial" w:cs="Arial" w:eastAsia="Arial" w:hAnsi="Arial"/>
          <w:color w:val="555555"/>
          <w:sz w:val="24"/>
          <w:szCs w:val="24"/>
        </w:rPr>
        <w:t xml:space="preserve">Detailed Financial Projections &amp; Operational Plan</w:t>
      </w:r>
    </w:p>
    <w:p>
      <w:pPr>
        <w:spacing w:after="80"/>
        <w:jc w:val="center"/>
      </w:pPr>
      <w:r>
        <w:rPr>
          <w:rFonts w:ascii="Arial" w:cs="Arial" w:eastAsia="Arial" w:hAnsi="Arial"/>
          <w:color w:val="777777"/>
          <w:sz w:val="22"/>
          <w:szCs w:val="22"/>
        </w:rPr>
        <w:t xml:space="preserve">All Three Phases: Seed through Scale</w:t>
      </w:r>
    </w:p>
    <w:p>
      <w:pPr>
        <w:spacing w:after="400" w:before="400"/>
      </w:pPr>
    </w:p>
    <w:p>
      <w:pPr>
        <w:jc w:val="center"/>
      </w:pPr>
      <w:r>
        <w:rPr>
          <w:rFonts w:ascii="Arial" w:cs="Arial" w:eastAsia="Arial" w:hAnsi="Arial"/>
          <w:color w:val="999999"/>
          <w:sz w:val="20"/>
          <w:szCs w:val="20"/>
        </w:rPr>
        <w:t xml:space="preserve">The Big Lease, Inc.  |  Delaware C-Corp  |  Austin, Texas</w:t>
      </w:r>
    </w:p>
    <w:p>
      <w:pPr>
        <w:jc w:val="center"/>
      </w:pPr>
      <w:r>
        <w:rPr>
          <w:rFonts w:ascii="Arial" w:cs="Arial" w:eastAsia="Arial" w:hAnsi="Arial"/>
          <w:color w:val="999999"/>
          <w:sz w:val="20"/>
          <w:szCs w:val="20"/>
        </w:rPr>
        <w:t xml:space="preserve">max@thebiglease.ai  |  thebiglease.ai</w:t>
      </w:r>
    </w:p>
    <w:p>
      <w:pPr>
        <w:spacing w:after="200" w:before="200"/>
      </w:pPr>
    </w:p>
    <w:p>
      <w:pPr>
        <w:jc w:val="center"/>
      </w:pPr>
      <w:r>
        <w:rPr>
          <w:rFonts w:ascii="Arial" w:cs="Arial" w:eastAsia="Arial" w:hAnsi="Arial"/>
          <w:b/>
          <w:bCs/>
          <w:color w:val="CFA94A"/>
          <w:sz w:val="18"/>
          <w:szCs w:val="18"/>
        </w:rPr>
        <w:t xml:space="preserve">CONFIDENTIAL</w:t>
      </w:r>
    </w:p>
    <w:p>
      <w:r>
        <w:br w:type="page"/>
      </w:r>
    </w:p>
    <w:p>
      <w:pPr>
        <w:pStyle w:val="Heading1"/>
      </w:pPr>
      <w:r>
        <w:t xml:space="preserve">Executive Summary</w:t>
      </w:r>
    </w:p>
    <w:p>
      <w:pPr>
        <w:spacing w:after="120"/>
      </w:pPr>
      <w:r>
        <w:rPr>
          <w:rFonts w:ascii="Arial" w:cs="Arial" w:eastAsia="Arial" w:hAnsi="Arial"/>
          <w:color w:val="333333"/>
          <w:sz w:val="22"/>
          <w:szCs w:val="22"/>
        </w:rPr>
        <w:t xml:space="preserve">The Big Lease (TBL) is building the first full-lifecycle leasing platform for four asset classes: real estate, land, equipment, and businesses. Two unprecedented macro forces—the AI infrastructure boom and the silver tsunami—are converging to create a $5T+/yr addressable market across the Boom Belt (Texas, Florida, Georgia, and eight additional high-growth states).</w:t>
      </w:r>
    </w:p>
    <w:p>
      <w:pPr>
        <w:spacing w:after="120"/>
      </w:pPr>
      <w:r>
        <w:rPr>
          <w:rFonts w:ascii="Arial" w:cs="Arial" w:eastAsia="Arial" w:hAnsi="Arial"/>
          <w:color w:val="333333"/>
          <w:sz w:val="22"/>
          <w:szCs w:val="22"/>
        </w:rPr>
        <w:t xml:space="preserve">TBL replaces the fragmented broker-driven model with an AI-native platform that handles discovery, negotiation, payments, accounting, and lifecycle management in one system. The platform charges 2% of transaction value plus 2% monthly processing, generates revenue from automation and integration services, and includes ASC 842/IFRS 16 compliance—replacing $5K–$50K/yr in accounting software for every customer.</w:t>
      </w:r>
    </w:p>
    <w:p>
      <w:pPr>
        <w:pBdr>
          <w:left w:val="single" w:color="CFA94A" w:sz="12" w:space="8"/>
        </w:pBdr>
        <w:spacing w:after="100" w:before="100"/>
        <w:ind w:left="200"/>
      </w:pPr>
      <w:r>
        <w:rPr>
          <w:rFonts w:ascii="Arial" w:cs="Arial" w:eastAsia="Arial" w:hAnsi="Arial"/>
          <w:i/>
          <w:iCs/>
          <w:color w:val="1A2332"/>
          <w:sz w:val="22"/>
          <w:szCs w:val="22"/>
        </w:rPr>
        <w:t xml:space="preserve">The 80/20 Model: TBL targets 80% of the $1.76T addressable leasing market over 10 years. Loss-leading pricing in Years 1–3 locks in market share. By Year 10, TBL processes $1.41T in volume and generates $24B in annual platform revenue. Total capital required: $1.6B–$3.2B across 5 staged raises.</w:t>
      </w:r>
    </w:p>
    <w:p>
      <w:pPr>
        <w:spacing w:after="120"/>
      </w:pPr>
      <w:r>
        <w:rPr>
          <w:rFonts w:ascii="Arial" w:cs="Arial" w:eastAsia="Arial" w:hAnsi="Arial"/>
          <w:color w:val="333333"/>
          <w:sz w:val="22"/>
          <w:szCs w:val="22"/>
        </w:rPr>
        <w:t xml:space="preserve">This document provides detailed year-by-year financial projections, expense breakdowns, revenue modeling, customer service scaling plans, and adoption economics across all three phases of growth.</w:t>
      </w:r>
    </w:p>
    <w:p>
      <w:r>
        <w:br w:type="page"/>
      </w:r>
    </w:p>
    <w:p>
      <w:pPr>
        <w:pStyle w:val="Heading1"/>
      </w:pPr>
      <w:r>
        <w:t xml:space="preserve">Revenue Model</w:t>
      </w:r>
    </w:p>
    <w:p>
      <w:pPr>
        <w:pStyle w:val="Heading2"/>
      </w:pPr>
      <w:r>
        <w:t xml:space="preserve">Revenue Streams</w:t>
      </w:r>
    </w:p>
    <w:p>
      <w:pPr>
        <w:spacing w:after="120"/>
      </w:pPr>
      <w:r>
        <w:rPr>
          <w:rFonts w:ascii="Arial" w:cs="Arial" w:eastAsia="Arial" w:hAnsi="Arial"/>
          <w:color w:val="333333"/>
          <w:sz w:val="22"/>
          <w:szCs w:val="22"/>
        </w:rPr>
        <w:t xml:space="preserve">TBL generates revenue from four sources, each creating compounding recurring income from every lease on the platform:</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2400"/>
        <w:gridCol w:w="2360"/>
      </w:tblGrid>
      <w:tr>
        <w:tc>
          <w:tcPr>
            <w:tcW w:type="dxa" w:w="2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Revenue Stream</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Timing</w:t>
            </w:r>
          </w:p>
        </w:tc>
        <w:tc>
          <w:tcPr>
            <w:tcW w:type="dxa" w:w="2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Example</w:t>
            </w:r>
          </w:p>
        </w:tc>
        <w:tc>
          <w:tcPr>
            <w:tcW w:type="dxa" w:w="23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Revenue Mix</w:t>
            </w:r>
          </w:p>
        </w:tc>
      </w:tr>
      <w:tr>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Transaction Fee (2%)</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One-time at lease execution</w:t>
            </w:r>
          </w:p>
        </w:tc>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$100K lease = $2,000</w:t>
            </w:r>
          </w:p>
        </w:tc>
        <w:tc>
          <w:tcPr>
            <w:tcW w:type="dxa" w:w="2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50–60% of Year 1 revenue</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Monthly Processing (2%)</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Recurring for lease duration</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$10K/mo lease = $200/mo</w:t>
            </w:r>
          </w:p>
        </w:tc>
        <w:tc>
          <w:tcPr>
            <w:tcW w:type="dxa" w:w="2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Grows to 60–70% of revenue by Year 3</w:t>
            </w:r>
          </w:p>
        </w:tc>
      </w:tr>
      <w:tr>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Automation &amp; Integration</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Per-supplier onboarding + ongoing</w:t>
            </w:r>
          </w:p>
        </w:tc>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$500–$5,000 per integration</w:t>
            </w:r>
          </w:p>
        </w:tc>
        <w:tc>
          <w:tcPr>
            <w:tcW w:type="dxa" w:w="2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15–20% of revenue</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Accounting Subscriptions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Annual ASC 842/IFRS 16 compliance</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$1,200–$3,600/yr per customer</w:t>
            </w:r>
          </w:p>
        </w:tc>
        <w:tc>
          <w:tcPr>
            <w:tcW w:type="dxa" w:w="2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10–15% of revenue at scale</w:t>
            </w:r>
          </w:p>
        </w:tc>
      </w:tr>
    </w:tbl>
    <w:p>
      <w:pPr>
        <w:spacing w:after="120" w:before="120"/>
      </w:pPr>
    </w:p>
    <w:p>
      <w:pPr>
        <w:pStyle w:val="Heading2"/>
      </w:pPr>
      <w:r>
        <w:t xml:space="preserve">Unit Economics: The $7,200 Math</w:t>
      </w:r>
    </w:p>
    <w:p>
      <w:pPr>
        <w:spacing w:after="120"/>
      </w:pPr>
      <w:r>
        <w:rPr>
          <w:rFonts w:ascii="Arial" w:cs="Arial" w:eastAsia="Arial" w:hAnsi="Arial"/>
          <w:color w:val="333333"/>
          <w:sz w:val="22"/>
          <w:szCs w:val="22"/>
        </w:rPr>
        <w:t xml:space="preserve">Example deal: $10,000/month NNN commercial lease, 36-month term, $360,000 total value.</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2200"/>
        <w:gridCol w:w="2560"/>
      </w:tblGrid>
      <w:tr>
        <w:tc>
          <w:tcPr>
            <w:tcW w:type="dxa" w:w="2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Cost Item</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Broker Model</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TBL Platform</w:t>
            </w:r>
          </w:p>
        </w:tc>
        <w:tc>
          <w:tcPr>
            <w:tcW w:type="dxa" w:w="25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In-House Team</w:t>
            </w:r>
          </w:p>
        </w:tc>
      </w:tr>
      <w:tr>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Broker commission (5% avg)</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$18,000</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25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In-house lease team (1–2 FTE)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$55K–$85K/yr each</w:t>
            </w:r>
          </w:p>
        </w:tc>
      </w:tr>
      <w:tr>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Lease accounting software (3 yrs)</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$15,000</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 (included)</w:t>
            </w:r>
          </w:p>
        </w:tc>
        <w:tc>
          <w:tcPr>
            <w:tcW w:type="dxa" w:w="25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$15,000</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CPA lease review (3 yrs)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 (included)</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$6,000</w:t>
            </w:r>
          </w:p>
        </w:tc>
      </w:tr>
      <w:tr>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Manual payment processing</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$1,800</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 (included)</w:t>
            </w:r>
          </w:p>
        </w:tc>
        <w:tc>
          <w:tcPr>
            <w:tcW w:type="dxa" w:w="25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$1,800</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 comp research</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$1,000–$2,000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 (included)</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$1,000–$2,000</w:t>
            </w:r>
          </w:p>
        </w:tc>
      </w:tr>
      <w:tr>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Renewal negotiation (yr 3)</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$3,000–$5,000</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 (included)</w:t>
            </w:r>
          </w:p>
        </w:tc>
        <w:tc>
          <w:tcPr>
            <w:tcW w:type="dxa" w:w="25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Internal staff time</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Management overhead &amp; training</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$10K–$20K/yr</w:t>
            </w:r>
          </w:p>
        </w:tc>
      </w:tr>
      <w:tr>
        <w:tc>
          <w:tcPr>
            <w:tcW w:type="dxa" w:w="2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TBL platform fee (2%)</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$7,200</w:t>
            </w:r>
          </w:p>
        </w:tc>
        <w:tc>
          <w:tcPr>
            <w:tcW w:type="dxa" w:w="25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Total 3-Year Cost</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$45,800–$47,800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CFA94A"/>
                <w:sz w:val="20"/>
                <w:szCs w:val="20"/>
              </w:rPr>
              <w:t xml:space="preserve">$7,200</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$199K–$332K</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TBL vs. Broker: $38,600+ saved per deal (5.4–6.6x return). TBL vs. In-House Team: $192K–$325K saved over 3 years—with better compliance, faster execution, and zero hiring risk. At 10,000 deals/yr, TBL earns $72M in platform fees.</w:t>
      </w:r>
    </w:p>
    <w:p>
      <w:r>
        <w:br w:type="page"/>
      </w:r>
    </w:p>
    <w:p>
      <w:pPr>
        <w:pStyle w:val="Heading1"/>
      </w:pPr>
      <w:r>
        <w:t xml:space="preserve">Phase 1: Own Texas (Year 1–3)</w:t>
      </w:r>
    </w:p>
    <w:p>
      <w:pPr>
        <w:pStyle w:val="Heading2"/>
      </w:pPr>
      <w:r>
        <w:t xml:space="preserve">Market Context</w:t>
      </w:r>
    </w:p>
    <w:p>
      <w:pPr>
        <w:spacing w:after="120"/>
      </w:pPr>
      <w:r>
        <w:rPr>
          <w:rFonts w:ascii="Arial" w:cs="Arial" w:eastAsia="Arial" w:hAnsi="Arial"/>
          <w:color w:val="333333"/>
          <w:sz w:val="22"/>
          <w:szCs w:val="22"/>
        </w:rPr>
        <w:t xml:space="preserve">Texas represents $80B+ in annual lease volume across all four asset classes—approximately 8% of the US market. Phase 1 targets 10,000 leases by Year 3, representing $1B+ in transaction volume and 1.2% market share in Texas alone.</w:t>
      </w:r>
    </w:p>
    <w:p>
      <w:pPr>
        <w:spacing w:after="60" w:before="60"/>
      </w:pPr>
    </w:p>
    <w:p>
      <w:pPr>
        <w:pStyle w:val="Heading2"/>
      </w:pPr>
      <w:r>
        <w:t xml:space="preserve">Year-by-Year Revenue Projections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200"/>
        <w:gridCol w:w="2160"/>
      </w:tblGrid>
      <w:tr>
        <w:tc>
          <w:tcPr>
            <w:tcW w:type="dxa" w:w="2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Metric</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1</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2</w:t>
            </w:r>
          </w:p>
        </w:tc>
        <w:tc>
          <w:tcPr>
            <w:tcW w:type="dxa" w:w="21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3</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Active Leases (cumulative)</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2,000</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10,000</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Avg. Lease Value (monthly)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$8,000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$9,000</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$10,000</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Transaction Fee Revenue</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$320,000</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$2,880,000</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$16,000,000</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Monthly Processing Revenue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$192,000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$2,160,000</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$12,000,000</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Automation &amp; Integration</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$100,000</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$600,000</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$3,000,000</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Accounting Subscriptions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$48,000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$480,000</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$2,400,000</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Total Revenue</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$660,000</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$6,120,000</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$33,400,000</w:t>
            </w:r>
          </w:p>
        </w:tc>
      </w:tr>
    </w:tbl>
    <w:p>
      <w:pPr>
        <w:spacing w:after="60" w:before="60"/>
      </w:pPr>
    </w:p>
    <w:p>
      <w:pPr>
        <w:spacing w:after="120"/>
      </w:pPr>
      <w:r>
        <w:rPr>
          <w:rFonts w:ascii="Arial" w:cs="Arial" w:eastAsia="Arial" w:hAnsi="Arial"/>
          <w:color w:val="333333"/>
          <w:sz w:val="22"/>
          <w:szCs w:val="22"/>
        </w:rPr>
        <w:t xml:space="preserve">Revenue assumptions: Average lease value grows from $8,000/mo in Year 1 (smaller initial customers) to $10,000/mo by Year 3 as enterprise customers onboard. New lease additions accelerate from 200 in Year 1 to 8,000 in Year 3 as the platform gains traction and referral effects compound.</w:t>
      </w:r>
    </w:p>
    <w:p>
      <w:pPr>
        <w:spacing w:after="120" w:before="120"/>
      </w:pPr>
    </w:p>
    <w:p>
      <w:pPr>
        <w:pStyle w:val="Heading2"/>
      </w:pPr>
      <w:r>
        <w:t xml:space="preserve">Detailed Expense Budget — Phase 1</w:t>
      </w:r>
    </w:p>
    <w:p>
      <w:pPr>
        <w:spacing w:after="60" w:before="60"/>
      </w:pPr>
    </w:p>
    <w:p>
      <w:pPr>
        <w:spacing w:after="120"/>
      </w:pPr>
      <w:r>
        <w:rPr>
          <w:rFonts w:ascii="Arial" w:cs="Arial" w:eastAsia="Arial" w:hAnsi="Arial"/>
          <w:b/>
          <w:bCs/>
          <w:color w:val="333333"/>
          <w:sz w:val="22"/>
          <w:szCs w:val="22"/>
        </w:rPr>
        <w:t xml:space="preserve">People &amp; Payroll</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1700"/>
        <w:gridCol w:w="1700"/>
        <w:gridCol w:w="2260"/>
      </w:tblGrid>
      <w:tr>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Role</w:t>
            </w:r>
          </w:p>
        </w:tc>
        <w:tc>
          <w:tcPr>
            <w:tcW w:type="dxa" w:w="1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Rate</w:t>
            </w:r>
          </w:p>
        </w:tc>
        <w:tc>
          <w:tcPr>
            <w:tcW w:type="dxa" w:w="17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1</w:t>
            </w:r>
          </w:p>
        </w:tc>
        <w:tc>
          <w:tcPr>
            <w:tcW w:type="dxa" w:w="17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2</w:t>
            </w:r>
          </w:p>
        </w:tc>
        <w:tc>
          <w:tcPr>
            <w:tcW w:type="dxa" w:w="22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3</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Sr. Full-Stack Engineer x2</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$130K–$145K each</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$260K–$290K</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$280K–$310K</w:t>
            </w:r>
          </w:p>
        </w:tc>
        <w:tc>
          <w:tcPr>
            <w:tcW w:type="dxa" w:w="2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$300K–$340K</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Mid-Level Engineer x1</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$100K–$120K</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$100K–$120K</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$110K–$130K</w:t>
            </w:r>
          </w:p>
        </w:tc>
        <w:tc>
          <w:tcPr>
            <w:tcW w:type="dxa" w:w="2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$120K–$140K</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CS Rep (hired Month 6)</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$30K–$35K</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$55K–$65K</w:t>
            </w:r>
          </w:p>
        </w:tc>
        <w:tc>
          <w:tcPr>
            <w:tcW w:type="dxa" w:w="2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$55K–$65K</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CS Rep #2 (hired Month 18)</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$30K–$35K</w:t>
            </w:r>
          </w:p>
        </w:tc>
        <w:tc>
          <w:tcPr>
            <w:tcW w:type="dxa" w:w="2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$55K–$65K</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Marketing Lead (hired Yr 2)</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$90K–$110K</w:t>
            </w:r>
          </w:p>
        </w:tc>
        <w:tc>
          <w:tcPr>
            <w:tcW w:type="dxa" w:w="2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$100K–$120K</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Founder / CEO</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Deferred</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2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$80K–$120K</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Payroll Taxes &amp; Benefits (20%)</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$78K–$89K</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$115K–$130K</w:t>
            </w:r>
          </w:p>
        </w:tc>
        <w:tc>
          <w:tcPr>
            <w:tcW w:type="dxa" w:w="2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$142K–$168K</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Total People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$468K–$534K</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$680K–$780K</w:t>
            </w:r>
          </w:p>
        </w:tc>
        <w:tc>
          <w:tcPr>
            <w:tcW w:type="dxa" w:w="2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$852K–$1.02M</w:t>
            </w:r>
          </w:p>
        </w:tc>
      </w:tr>
    </w:tbl>
    <w:p>
      <w:pPr>
        <w:spacing w:after="120" w:before="120"/>
      </w:pPr>
    </w:p>
    <w:p>
      <w:pPr>
        <w:spacing w:after="120"/>
      </w:pPr>
      <w:r>
        <w:rPr>
          <w:rFonts w:ascii="Arial" w:cs="Arial" w:eastAsia="Arial" w:hAnsi="Arial"/>
          <w:b/>
          <w:bCs/>
          <w:color w:val="333333"/>
          <w:sz w:val="22"/>
          <w:szCs w:val="22"/>
        </w:rPr>
        <w:t xml:space="preserve">IT &amp; Infrastructure</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1700"/>
        <w:gridCol w:w="1700"/>
        <w:gridCol w:w="2260"/>
      </w:tblGrid>
      <w:tr>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Item</w:t>
            </w:r>
          </w:p>
        </w:tc>
        <w:tc>
          <w:tcPr>
            <w:tcW w:type="dxa" w:w="1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Rate</w:t>
            </w:r>
          </w:p>
        </w:tc>
        <w:tc>
          <w:tcPr>
            <w:tcW w:type="dxa" w:w="17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1</w:t>
            </w:r>
          </w:p>
        </w:tc>
        <w:tc>
          <w:tcPr>
            <w:tcW w:type="dxa" w:w="17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2</w:t>
            </w:r>
          </w:p>
        </w:tc>
        <w:tc>
          <w:tcPr>
            <w:tcW w:type="dxa" w:w="22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3</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Supabase (database + auth)</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$300/mo</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$3,600</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$4,800</w:t>
            </w:r>
          </w:p>
        </w:tc>
        <w:tc>
          <w:tcPr>
            <w:tcW w:type="dxa" w:w="2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$7,200</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Vercel (hosting + edge)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$200/mo</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$2,400</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$4,200</w:t>
            </w:r>
          </w:p>
        </w:tc>
        <w:tc>
          <w:tcPr>
            <w:tcW w:type="dxa" w:w="2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$7,200</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Claude API (AI + Gunga)</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$1.5K–$3K/mo</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$18K–$36K</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$30K–$48K</w:t>
            </w:r>
          </w:p>
        </w:tc>
        <w:tc>
          <w:tcPr>
            <w:tcW w:type="dxa" w:w="2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$48K–$72K</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Stripe fees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2.9% + 30¢</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Pass-through</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Pass-through</w:t>
            </w:r>
          </w:p>
        </w:tc>
        <w:tc>
          <w:tcPr>
            <w:tcW w:type="dxa" w:w="2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Pass-through</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DocuSign API</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$500/mo</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$6,000</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$8,400</w:t>
            </w:r>
          </w:p>
        </w:tc>
        <w:tc>
          <w:tcPr>
            <w:tcW w:type="dxa" w:w="2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$12,000</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Monitoring (Sentry, analytics)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$200/mo</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$2,400</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$3,600</w:t>
            </w:r>
          </w:p>
        </w:tc>
        <w:tc>
          <w:tcPr>
            <w:tcW w:type="dxa" w:w="2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$6,000</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Domain, email, security</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$100/mo</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$1,200</w:t>
            </w:r>
          </w:p>
        </w:tc>
        <w:tc>
          <w:tcPr>
            <w:tcW w:type="dxa" w:w="17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$1,800</w:t>
            </w:r>
          </w:p>
        </w:tc>
        <w:tc>
          <w:tcPr>
            <w:tcW w:type="dxa" w:w="2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$2,400</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Total IT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$34K–$52K</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$53K–$71K</w:t>
            </w:r>
          </w:p>
        </w:tc>
        <w:tc>
          <w:tcPr>
            <w:tcW w:type="dxa" w:w="2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$83K–$107K</w:t>
            </w:r>
          </w:p>
        </w:tc>
      </w:tr>
    </w:tbl>
    <w:p>
      <w:pPr>
        <w:spacing w:after="120" w:before="120"/>
      </w:pPr>
    </w:p>
    <w:p>
      <w:pPr>
        <w:spacing w:after="120"/>
      </w:pPr>
      <w:r>
        <w:rPr>
          <w:rFonts w:ascii="Arial" w:cs="Arial" w:eastAsia="Arial" w:hAnsi="Arial"/>
          <w:b/>
          <w:bCs/>
          <w:color w:val="333333"/>
          <w:sz w:val="22"/>
          <w:szCs w:val="22"/>
        </w:rPr>
        <w:t xml:space="preserve">Operations &amp; Growth</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200"/>
        <w:gridCol w:w="2160"/>
      </w:tblGrid>
      <w:tr>
        <w:tc>
          <w:tcPr>
            <w:tcW w:type="dxa" w:w="2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Item</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1</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2</w:t>
            </w:r>
          </w:p>
        </w:tc>
        <w:tc>
          <w:tcPr>
            <w:tcW w:type="dxa" w:w="21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3</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Office (founder lives on-site)</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$18K–$30K</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$18K–$30K</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$56K–$99K</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Legal (entity + contracts)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$15K–$30K</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$8K–$15K</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$10K–$20K</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D&amp;O + E&amp;O Insurance</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$8K–$15K</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$10K–$18K</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$15K–$25K</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Accounting &amp; bookkeeping</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$6K–$12K</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$8K–$15K</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$15K–$24K</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Marketing &amp; content</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$60K–$120K</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$120K–$200K</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$200K–$350K</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Customer acquisition (ads)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$24K–$48K</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$48K–$96K</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$96K–$180K</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Travel &amp; conferences</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$6K–$12K</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$12K–$24K</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$24K–$36K</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Total Operations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$137K–$267K</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$224K–$398K</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$416K–$734K</w:t>
            </w:r>
          </w:p>
        </w:tc>
      </w:tr>
    </w:tbl>
    <w:p>
      <w:pPr>
        <w:spacing w:after="120" w:before="120"/>
      </w:pPr>
    </w:p>
    <w:p>
      <w:pPr>
        <w:spacing w:after="120"/>
      </w:pPr>
      <w:r>
        <w:rPr>
          <w:rFonts w:ascii="Arial" w:cs="Arial" w:eastAsia="Arial" w:hAnsi="Arial"/>
          <w:b/>
          <w:bCs/>
          <w:color w:val="333333"/>
          <w:sz w:val="22"/>
          <w:szCs w:val="22"/>
        </w:rPr>
        <w:t xml:space="preserve">Phase 1 Summary: Total Annual Expenses</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200"/>
        <w:gridCol w:w="2160"/>
      </w:tblGrid>
      <w:tr>
        <w:tc>
          <w:tcPr>
            <w:tcW w:type="dxa" w:w="2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Category</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1</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2</w:t>
            </w:r>
          </w:p>
        </w:tc>
        <w:tc>
          <w:tcPr>
            <w:tcW w:type="dxa" w:w="21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3</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People &amp; Payroll</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$468K–$534K</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$680K–$780K</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$852K–$1.02M</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IT &amp; Infrastructure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$34K–$52K</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$53K–$71K</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$83K–$107K</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Operations &amp; Growth</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$137K–$267K</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$224K–$398K</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$416K–$734K</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Total Expenses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$639K–$853K</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$957K–$1.25M</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$1.35M–$1.86M</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Revenue</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$660K</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$6.12M</w:t>
            </w:r>
          </w:p>
        </w:tc>
        <w:tc>
          <w:tcPr>
            <w:tcW w:type="dxa" w:w="2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$33.4M</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228B22"/>
                <w:sz w:val="20"/>
                <w:szCs w:val="20"/>
              </w:rPr>
              <w:t xml:space="preserve">Net Income / (Loss)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($193K)–$21K</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$4.87M–$5.16M</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$31.5M–$32.1M</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Phase 1 targets breakeven by Month 12–18. By Year 3, the platform generates $33M+ in revenue against $1.4M–$1.9M in expenses, producing gross margins above 90%.</w:t>
      </w:r>
    </w:p>
    <w:p>
      <w:r>
        <w:br w:type="page"/>
      </w:r>
    </w:p>
    <w:p>
      <w:pPr>
        <w:pStyle w:val="Heading1"/>
      </w:pPr>
      <w:r>
        <w:t xml:space="preserve">Phase 2: National Expansion (Year 3–5)</w:t>
      </w:r>
    </w:p>
    <w:p>
      <w:pPr>
        <w:spacing w:after="120"/>
      </w:pPr>
      <w:r>
        <w:rPr>
          <w:rFonts w:ascii="Arial" w:cs="Arial" w:eastAsia="Arial" w:hAnsi="Arial"/>
          <w:color w:val="333333"/>
          <w:sz w:val="22"/>
          <w:szCs w:val="22"/>
        </w:rPr>
        <w:t xml:space="preserve">With Texas proven, Phase 2 expands across the full Boom Belt and into all 50 states. The platform is battle-tested, the AI pricing engine has thousands of comps, and the playbook is repeatable.</w:t>
      </w:r>
    </w:p>
    <w:p>
      <w:pPr>
        <w:spacing w:after="60" w:before="60"/>
      </w:pPr>
    </w:p>
    <w:p>
      <w:pPr>
        <w:pStyle w:val="Heading2"/>
      </w:pPr>
      <w:r>
        <w:t xml:space="preserve">Year-by-Year Revenue Projections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Metric</w:t>
            </w:r>
          </w:p>
        </w:tc>
        <w:tc>
          <w:tcPr>
            <w:tcW w:type="dxa" w:w="30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4</w:t>
            </w:r>
          </w:p>
        </w:tc>
        <w:tc>
          <w:tcPr>
            <w:tcW w:type="dxa" w:w="30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5</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Active Leases (cumulative)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25,000</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50,000</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Avg. Lease Value (monthly)</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$12,000</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$15,000</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Transaction Fee Revenue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$36,000,000</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$75,000,000</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Monthly Processing Revenue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$36,000,000</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$90,000,000</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Automation &amp; Integration</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$10,000,000</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$20,000,000</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Accounting Subscriptions</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$6,000,000</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$12,000,000</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Total Revenue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$88,000,000</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$197,000,000</w:t>
            </w:r>
          </w:p>
        </w:tc>
      </w:tr>
    </w:tbl>
    <w:p>
      <w:pPr>
        <w:spacing w:after="120" w:before="120"/>
      </w:pPr>
    </w:p>
    <w:p>
      <w:pPr>
        <w:pStyle w:val="Heading2"/>
      </w:pPr>
      <w:r>
        <w:t xml:space="preserve">Phase 2 Expense Projections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Category</w:t>
            </w:r>
          </w:p>
        </w:tc>
        <w:tc>
          <w:tcPr>
            <w:tcW w:type="dxa" w:w="30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4</w:t>
            </w:r>
          </w:p>
        </w:tc>
        <w:tc>
          <w:tcPr>
            <w:tcW w:type="dxa" w:w="30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5</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Engineering (6–10 people)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$1.2M–$2.0M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$1.8M–$3.0M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Sales (4–6 people)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$600K–$1.0M</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$900K–$1.5M</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Operations (3–5 people)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$400K–$700K</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$600K–$1.0M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Finance &amp; Legal (1–2 people)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$200K–$400K</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$300K–$500K</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Marketing (2–4 people)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$500K–$1.0M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$800K–$1.5M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Executive (2–3 people)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$400K–$600K</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$600K–$900K</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Support (2–3 people)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$200K–$350K</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$300K–$500K</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Harwood District Office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$200K–$350K</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$350K–$550K</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IT &amp; Cloud Infrastructure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$200K–$400K</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$400K–$700K</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Insurance, Legal, Compliance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$150K–$250K</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$200K–$400K</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Total Expenses</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$4.05M–$7.05M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$6.25M–$10.55M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228B22"/>
                <w:sz w:val="20"/>
                <w:szCs w:val="20"/>
              </w:rPr>
              <w:t xml:space="preserve">Net Income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228B22"/>
                <w:sz w:val="20"/>
                <w:szCs w:val="20"/>
              </w:rPr>
              <w:t xml:space="preserve">$81M–$84M</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228B22"/>
                <w:sz w:val="20"/>
                <w:szCs w:val="20"/>
              </w:rPr>
              <w:t xml:space="preserve">$186M–$191M</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Phase 2 funded by a $5M–$15M Series A. Headcount grows to 20–35 people (vs. 50–80 at traditional SaaS companies at this scale). AI-native architecture eliminates entire departments.</w:t>
      </w:r>
    </w:p>
    <w:p>
      <w:r>
        <w:br w:type="page"/>
      </w:r>
    </w:p>
    <w:p>
      <w:pPr>
        <w:pStyle w:val="Heading1"/>
      </w:pPr>
      <w:r>
        <w:t xml:space="preserve">Phase 3: Global Scale (Year 5–7+)</w:t>
      </w:r>
    </w:p>
    <w:p>
      <w:pPr>
        <w:spacing w:after="120"/>
      </w:pPr>
      <w:r>
        <w:rPr>
          <w:rFonts w:ascii="Arial" w:cs="Arial" w:eastAsia="Arial" w:hAnsi="Arial"/>
          <w:color w:val="333333"/>
          <w:sz w:val="22"/>
          <w:szCs w:val="22"/>
        </w:rPr>
        <w:t xml:space="preserve">Phase 3 takes TBL global, adding international markets, all four asset classes at full depth, and enterprise partnerships. The AI pricing engine now has tens of thousands of comps—a data moat no competitor can replicate.</w:t>
      </w:r>
    </w:p>
    <w:p>
      <w:pPr>
        <w:spacing w:after="60" w:before="60"/>
      </w:pPr>
    </w:p>
    <w:p>
      <w:pPr>
        <w:pStyle w:val="Heading2"/>
      </w:pPr>
      <w:r>
        <w:t xml:space="preserve">Year-by-Year Revenue Projections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Metric</w:t>
            </w:r>
          </w:p>
        </w:tc>
        <w:tc>
          <w:tcPr>
            <w:tcW w:type="dxa" w:w="30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6</w:t>
            </w:r>
          </w:p>
        </w:tc>
        <w:tc>
          <w:tcPr>
            <w:tcW w:type="dxa" w:w="30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7</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Active Leases (cumulative)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100,000</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200,000+</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Avg. Lease Value (monthly)</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$18,000</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$20,000+</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Transaction Fee Revenue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$180,000,000</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$400,000,000+</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Monthly Processing Revenue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$216,000,000</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$480,000,000+</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Automation &amp; Integration</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$40,000,000</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$80,000,000+</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Accounting Subscriptions</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$24,000,000</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$48,000,000+</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Total Revenue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$460,000,000</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$1,000,000,000+</w:t>
            </w:r>
          </w:p>
        </w:tc>
      </w:tr>
    </w:tbl>
    <w:p>
      <w:pPr>
        <w:spacing w:after="120" w:before="120"/>
      </w:pPr>
    </w:p>
    <w:p>
      <w:pPr>
        <w:pStyle w:val="Heading2"/>
      </w:pPr>
      <w:r>
        <w:t xml:space="preserve">Phase 3 Expense Projections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Category</w:t>
            </w:r>
          </w:p>
        </w:tc>
        <w:tc>
          <w:tcPr>
            <w:tcW w:type="dxa" w:w="30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6</w:t>
            </w:r>
          </w:p>
        </w:tc>
        <w:tc>
          <w:tcPr>
            <w:tcW w:type="dxa" w:w="30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 7</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Engineering (20–40 people)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$6M–$12M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$10M–$20M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Sales (20–40 people)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$4M–$8M</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$8M–$16M</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Operations (15–30 people)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$3M–$6M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$5M–$10M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Finance &amp; Legal (5–10 people)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$1.5M–$3M</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$2.5M–$5M</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Marketing (10–20 people)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$3M–$6M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$5M–$10M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Executive (5–10 people)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$2M–$4M</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$3M–$6M</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Support (10–25 people)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$2M–$5M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$4M–$10M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Global Office Footprint</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$2M–$5M</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$4M–$8M</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Cloud &amp; AI Infrastructure</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$3M–$6M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$6M–$12M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Insurance, Legal, Compliance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$1M–$2M</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$2M–$4M</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Total Expenses</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$27.5M–$57M</w:t>
            </w:r>
          </w:p>
        </w:tc>
        <w:tc>
          <w:tcPr>
            <w:tcW w:type="dxa" w:w="30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$49.5M–$101M</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228B22"/>
                <w:sz w:val="20"/>
                <w:szCs w:val="20"/>
              </w:rPr>
              <w:t xml:space="preserve">Net Income</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228B22"/>
                <w:sz w:val="20"/>
                <w:szCs w:val="20"/>
              </w:rPr>
              <w:t xml:space="preserve">$403M–$433M</w:t>
            </w:r>
          </w:p>
        </w:tc>
        <w:tc>
          <w:tcPr>
            <w:tcW w:type="dxa" w:w="30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228B22"/>
                <w:sz w:val="20"/>
                <w:szCs w:val="20"/>
              </w:rPr>
              <w:t xml:space="preserve">$899M–$951M</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At 1% of the $5T+/yr US market, TBL generates $1B+ in annual recurring revenue. Headcount stays at 100–200 (vs. 300–500+ at traditional companies) due to AI-native architecture.</w:t>
      </w:r>
    </w:p>
    <w:p>
      <w:r>
        <w:br w:type="page"/>
      </w:r>
    </w:p>
    <w:p>
      <w:pPr>
        <w:pStyle w:val="Heading1"/>
      </w:pPr>
      <w:r>
        <w:t xml:space="preserve">Customer Service Plan</w:t>
      </w:r>
    </w:p>
    <w:p>
      <w:pPr>
        <w:spacing w:after="120"/>
      </w:pPr>
      <w:r>
        <w:rPr>
          <w:rFonts w:ascii="Arial" w:cs="Arial" w:eastAsia="Arial" w:hAnsi="Arial"/>
          <w:color w:val="333333"/>
          <w:sz w:val="22"/>
          <w:szCs w:val="22"/>
        </w:rPr>
        <w:t xml:space="preserve">TBL takes a phased approach to customer service that matches support capacity with actual platform volume. The AI-first model means Gunga (TBL’s conversational AI) resolves 80%+ of inquiries automatically from Day 1, with human support scaling as lease volume grows.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1600"/>
        <w:gridCol w:w="4260"/>
      </w:tblGrid>
      <w:tr>
        <w:tc>
          <w:tcPr>
            <w:tcW w:type="dxa" w:w="1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Phase</w:t>
            </w:r>
          </w:p>
        </w:tc>
        <w:tc>
          <w:tcPr>
            <w:tcW w:type="dxa" w:w="2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Team</w:t>
            </w:r>
          </w:p>
        </w:tc>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Lease Volume</w:t>
            </w:r>
          </w:p>
        </w:tc>
        <w:tc>
          <w:tcPr>
            <w:tcW w:type="dxa" w:w="42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Service Model</w:t>
            </w:r>
          </w:p>
        </w:tc>
      </w:tr>
      <w:tr>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Month 1–6</w:t>
            </w:r>
          </w:p>
        </w:tc>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Founder + Gunga AI</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0–200 leases</w:t>
            </w:r>
          </w:p>
        </w:tc>
        <w:tc>
          <w:tcPr>
            <w:tcW w:type="dxa" w:w="4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Founder handles all escalations directly. Gunga resolves routine inquiries (payment status, lease terms, document requests). Direct phone/email access to the founder for every customer. Response time: under 2 hours for all inquiries.</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Month 6–12</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 dedicated CS rep + Gunga</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200–1,000 leases</w:t>
            </w:r>
          </w:p>
        </w:tc>
        <w:tc>
          <w:tcPr>
            <w:tcW w:type="dxa" w:w="4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Hire first CS rep ($55K–$65K). Rep builds knowledge base, handles onboarding calls, manages supplier relationships. Gunga handles Tier 1 (80%+). Rep handles Tier 2. Founder handles Tier 3 (complex disputes, enterprise accounts).</w:t>
            </w:r>
          </w:p>
        </w:tc>
      </w:tr>
      <w:tr>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Month 12–24</w:t>
            </w:r>
          </w:p>
        </w:tc>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2–3 CS reps + Gunga</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1,000–5,000 leases</w:t>
            </w:r>
          </w:p>
        </w:tc>
        <w:tc>
          <w:tcPr>
            <w:tcW w:type="dxa" w:w="4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Scale to tiered support model. AI resolves 80%+ automatically. Reps specialize: 1 for supplier onboarding, 1 for lessee support, 1 for escalations. SLA: 4-hour response, 24-hour resolution for standard issues.</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Phase 2 (Yr 3–5)</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5–10 CS team + AI</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5,000–50,000 leases</w:t>
            </w:r>
          </w:p>
        </w:tc>
        <w:tc>
          <w:tcPr>
            <w:tcW w:type="dxa" w:w="4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Dedicated support pods by asset class. Enterprise account managers for top 100 accounts. 24/7 AI support with business-hours human escalation. NPS target: 70+.</w:t>
            </w:r>
          </w:p>
        </w:tc>
      </w:tr>
      <w:tr>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Phase 3 (Yr 5–7+)</w:t>
            </w:r>
          </w:p>
        </w:tc>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15–30 CS team + AI</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50,000–200,000+ leases</w:t>
            </w:r>
          </w:p>
        </w:tc>
        <w:tc>
          <w:tcPr>
            <w:tcW w:type="dxa" w:w="4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Global support across time zones. White-glove enterprise tier. AI handles 90%+ of all inquiries. Human team focuses on relationship management and complex dispute resolution.</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The AI-first model means TBL never needs a 200-person call center. At 200,000 leases, the support team is 15–30 people—not 150. Gunga handles onboarding, FAQs, payment inquiries, and document requests conversationally, 24/7.</w:t>
      </w:r>
    </w:p>
    <w:p>
      <w:r>
        <w:br w:type="page"/>
      </w:r>
    </w:p>
    <w:p>
      <w:pPr>
        <w:pStyle w:val="Heading1"/>
      </w:pPr>
      <w:r>
        <w:t xml:space="preserve">Adoption Economics &amp; Market Reality</w:t>
      </w:r>
    </w:p>
    <w:p>
      <w:pPr>
        <w:pStyle w:val="Heading2"/>
      </w:pPr>
      <w:r>
        <w:t xml:space="preserve">The Real Pushback</w:t>
      </w:r>
    </w:p>
    <w:p>
      <w:pPr>
        <w:spacing w:after="120"/>
      </w:pPr>
      <w:r>
        <w:rPr>
          <w:rFonts w:ascii="Arial" w:cs="Arial" w:eastAsia="Arial" w:hAnsi="Arial"/>
          <w:color w:val="333333"/>
          <w:sz w:val="22"/>
          <w:szCs w:val="22"/>
        </w:rPr>
        <w:t xml:space="preserve">Companies will resist switching to TBL. That resistance is predictable, and every objection has a concrete answer:</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500"/>
        <w:gridCol w:w="4060"/>
      </w:tblGrid>
      <w:tr>
        <w:tc>
          <w:tcPr>
            <w:tcW w:type="dxa" w:w="1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Pushback</w:t>
            </w:r>
          </w:p>
        </w:tc>
        <w:tc>
          <w:tcPr>
            <w:tcW w:type="dxa" w:w="3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What They Say</w:t>
            </w:r>
          </w:p>
        </w:tc>
        <w:tc>
          <w:tcPr>
            <w:tcW w:type="dxa" w:w="40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TBL’s Answer</w:t>
            </w:r>
          </w:p>
        </w:tc>
      </w:tr>
      <w:tr>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Data integration fear</w:t>
            </w:r>
          </w:p>
        </w:tc>
        <w:tc>
          <w:tcPr>
            <w:tcW w:type="dxa" w:w="3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"We can’t migrate our lease data." Companies have years of records in legacy systems—Yardi, SAP, spreadsheets. Migration feels risky and expensive.</w:t>
            </w:r>
          </w:p>
        </w:tc>
        <w:tc>
          <w:tcPr>
            <w:tcW w:type="dxa" w:w="40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TBL connects via 27 system integrations (Yardi, SAP, NetSuite, QuickBooks, Salesforce, and 22 more). Data flows in—nothing gets replaced. Gunga onboards companies with zero systems via conversation.</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API security concerns</w:t>
            </w:r>
          </w:p>
        </w:tc>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"We can’t open API connections to a third party—our data and our clients’ data are at risk." Companies worry that connecting systems via API exposes sensitive lease terms, tenant PII, financial records, and payment data to breaches or unauthorized access. Regulated industries (healthcare, government, finance) face additional compliance barriers.</w:t>
            </w:r>
          </w:p>
        </w:tc>
        <w:tc>
          <w:tcPr>
            <w:tcW w:type="dxa" w:w="4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TBL is built SOC 2 Type II compliant from Day 1. All API connections use OAuth 2.0 with scoped permissions—TBL only accesses the specific data fields required, never full system access. Data is encrypted in transit (TLS 1.3) and at rest (AES-256). For companies with strict security policies, TBL offers read-only integration modes, on-demand data sync (vs. persistent connections), and signed BAAs for HIPAA-adjacent use cases. The platform undergoes annual third-party penetration testing. TBL’s security posture exceeds what most companies run internally.</w:t>
            </w:r>
          </w:p>
        </w:tc>
      </w:tr>
      <w:tr>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IT department resistance</w:t>
            </w:r>
          </w:p>
        </w:tc>
        <w:tc>
          <w:tcPr>
            <w:tcW w:type="dxa" w:w="3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"Our IT team won’t approve a new platform." Internal teams protect existing systems and resist external dependencies.</w:t>
            </w:r>
          </w:p>
        </w:tc>
        <w:tc>
          <w:tcPr>
            <w:tcW w:type="dxa" w:w="40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No on-premises installation. Cloud-native SaaS with SOC 2 compliance. IT approves a vendor, not a system migration. Typical IT review: 2–4 weeks.</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Change management</w:t>
            </w:r>
          </w:p>
        </w:tc>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"Our people won’t adopt it." Lease administrators and property managers see automation as a threat to their jobs.</w:t>
            </w:r>
          </w:p>
        </w:tc>
        <w:tc>
          <w:tcPr>
            <w:tcW w:type="dxa" w:w="4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Existing staff become strategic. Lease managers shift from data entry and chasing payments to portfolio optimization and growth. Their roles upgrade—they don’t disappear.</w:t>
            </w:r>
          </w:p>
        </w:tc>
      </w:tr>
      <w:tr>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Broker relationships</w:t>
            </w:r>
          </w:p>
        </w:tc>
        <w:tc>
          <w:tcPr>
            <w:tcW w:type="dxa" w:w="3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"We’ve used the same broker for 20 years." Emotional loyalty and personal relationships create inertia even when costs are higher.</w:t>
            </w:r>
          </w:p>
        </w:tc>
        <w:tc>
          <w:tcPr>
            <w:tcW w:type="dxa" w:w="40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The P&amp;L doesn’t lie. When the CFO sees $130K–$240K/yr in cost savings, the broker relationship becomes a conversation about ROI, not loyalty.</w:t>
            </w:r>
          </w:p>
        </w:tc>
      </w:tr>
    </w:tbl>
    <w:p>
      <w:pPr>
        <w:spacing w:after="120" w:before="120"/>
      </w:pPr>
    </w:p>
    <w:p>
      <w:pPr>
        <w:pStyle w:val="Heading2"/>
      </w:pPr>
      <w:r>
        <w:t xml:space="preserve">Internal Costs TBL Replaces</w:t>
      </w:r>
    </w:p>
    <w:p>
      <w:pPr>
        <w:spacing w:after="120"/>
      </w:pPr>
      <w:r>
        <w:rPr>
          <w:rFonts w:ascii="Arial" w:cs="Arial" w:eastAsia="Arial" w:hAnsi="Arial"/>
          <w:color w:val="333333"/>
          <w:sz w:val="22"/>
          <w:szCs w:val="22"/>
        </w:rPr>
        <w:t xml:space="preserve">Companies already pay people and software to do what TBL automates. The platform doesn’t add a cost—it eliminates several:</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800"/>
        <w:gridCol w:w="2200"/>
        <w:gridCol w:w="2860"/>
      </w:tblGrid>
      <w:tr>
        <w:tc>
          <w:tcPr>
            <w:tcW w:type="dxa" w:w="2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Internal Cost</w:t>
            </w:r>
          </w:p>
        </w:tc>
        <w:tc>
          <w:tcPr>
            <w:tcW w:type="dxa" w:w="1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Rate</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Annual Cost</w:t>
            </w:r>
          </w:p>
        </w:tc>
        <w:tc>
          <w:tcPr>
            <w:tcW w:type="dxa" w:w="28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TBL Replacement</w:t>
            </w:r>
          </w:p>
        </w:tc>
      </w:tr>
      <w:tr>
        <w:tc>
          <w:tcPr>
            <w:tcW w:type="dxa" w:w="2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Lease Administrator (1–2 FTE)</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$55K–$85K each</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$55K–$170K</w:t>
            </w:r>
          </w:p>
        </w:tc>
        <w:tc>
          <w:tcPr>
            <w:tcW w:type="dxa" w:w="28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Automated by AI intake, tracking, renewals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Broker Commissions</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4–12% per deal</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$14K–$43K per $360K lease</w:t>
            </w:r>
          </w:p>
        </w:tc>
        <w:tc>
          <w:tcPr>
            <w:tcW w:type="dxa" w:w="28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Replaced by 2% platform fee</w:t>
            </w:r>
          </w:p>
        </w:tc>
      </w:tr>
      <w:tr>
        <w:tc>
          <w:tcPr>
            <w:tcW w:type="dxa" w:w="2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Lease Accounting Software</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$5K–$50K/yr</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$5K–$50K</w:t>
            </w:r>
          </w:p>
        </w:tc>
        <w:tc>
          <w:tcPr>
            <w:tcW w:type="dxa" w:w="28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Included in TBL</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CPA Lease Reviews</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$2K–$5K/yr</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$2K–$5K</w:t>
            </w:r>
          </w:p>
        </w:tc>
        <w:tc>
          <w:tcPr>
            <w:tcW w:type="dxa" w:w="28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Automated ASC 842 compliance</w:t>
            </w:r>
          </w:p>
        </w:tc>
      </w:tr>
      <w:tr>
        <w:tc>
          <w:tcPr>
            <w:tcW w:type="dxa" w:w="2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Payment Processing Staff</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$40K–$55K/yr</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$40K–$55K</w:t>
            </w:r>
          </w:p>
        </w:tc>
        <w:tc>
          <w:tcPr>
            <w:tcW w:type="dxa" w:w="28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Automated via Stripe Connect</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 Research / Comp Data</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$500–$5K/yr</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$500–$5K</w:t>
            </w:r>
          </w:p>
        </w:tc>
        <w:tc>
          <w:tcPr>
            <w:tcW w:type="dxa" w:w="28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Built into AI pricing engine</w:t>
            </w:r>
          </w:p>
        </w:tc>
      </w:tr>
      <w:tr>
        <w:tc>
          <w:tcPr>
            <w:tcW w:type="dxa" w:w="2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Total Internal Costs</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$130K–$240K/yr</w:t>
            </w:r>
          </w:p>
        </w:tc>
        <w:tc>
          <w:tcPr>
            <w:tcW w:type="dxa" w:w="28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Replaced by TBL</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A company spending $130K–$240K/yr on internal leasing operations switches to TBL and pays $7,200 per $360K lease. Even with 10 leases per year, their total TBL cost ($72K) is less than one lease administrator’s salary.</w:t>
      </w:r>
    </w:p>
    <w:p>
      <w:pPr>
        <w:spacing w:after="120" w:before="120"/>
      </w:pPr>
    </w:p>
    <w:p>
      <w:pPr>
        <w:pStyle w:val="Heading2"/>
      </w:pPr>
      <w:r>
        <w:t xml:space="preserve">The Low-Risk Implementation Path</w:t>
      </w:r>
    </w:p>
    <w:p>
      <w:pPr>
        <w:spacing w:after="120"/>
      </w:pPr>
      <w:r>
        <w:rPr>
          <w:rFonts w:ascii="Arial" w:cs="Arial" w:eastAsia="Arial" w:hAnsi="Arial"/>
          <w:color w:val="333333"/>
          <w:sz w:val="22"/>
          <w:szCs w:val="22"/>
        </w:rPr>
        <w:t xml:space="preserve">TBL does not ask companies to rip and replace. The adoption path is designed to prove value before asking for commitment:</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5960"/>
      </w:tblGrid>
      <w:tr>
        <w:tc>
          <w:tcPr>
            <w:tcW w:type="dxa" w:w="1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Step</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Action</w:t>
            </w:r>
          </w:p>
        </w:tc>
        <w:tc>
          <w:tcPr>
            <w:tcW w:type="dxa" w:w="59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Detail</w:t>
            </w:r>
          </w:p>
        </w:tc>
      </w:tr>
      <w:tr>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Step 1: Pilot</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One division, one asset class</w:t>
            </w:r>
          </w:p>
        </w:tc>
        <w:tc>
          <w:tcPr>
            <w:tcW w:type="dxa" w:w="5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Start with a single department or asset type. Keep everything else unchanged. TBL runs in parallel—no disruption to existing operations. Timeline: 2–4 weeks to onboard, 60–90 days to measure.</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Step 2: Measure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Track the P&amp;L impact</w:t>
            </w:r>
          </w:p>
        </w:tc>
        <w:tc>
          <w:tcPr>
            <w:tcW w:type="dxa" w:w="5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Compare internal costs before vs. after. The savings show up immediately: fewer hours, no broker fee, automated accounting. Hard numbers, not promises.</w:t>
            </w:r>
          </w:p>
        </w:tc>
      </w:tr>
      <w:tr>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Step 3: Expand</w:t>
            </w:r>
          </w:p>
        </w:tc>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Roll out when data proves it</w:t>
            </w:r>
          </w:p>
        </w:tc>
        <w:tc>
          <w:tcPr>
            <w:tcW w:type="dxa" w:w="5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Once one division shows ROI, the CFO makes the call to expand. Companies typically roll out across all asset classes within 90 days of first results.</w:t>
            </w:r>
          </w:p>
        </w:tc>
      </w:tr>
    </w:tbl>
    <w:p>
      <w:pPr>
        <w:spacing w:after="60" w:before="60"/>
      </w:pPr>
    </w:p>
    <w:p>
      <w:r>
        <w:br w:type="page"/>
      </w:r>
    </w:p>
    <w:p>
      <w:pPr>
        <w:pStyle w:val="Heading1"/>
      </w:pPr>
      <w:r>
        <w:t xml:space="preserve">Lean Operations &amp; AI Leverage</w:t>
      </w:r>
    </w:p>
    <w:p>
      <w:pPr>
        <w:spacing w:after="120"/>
      </w:pPr>
      <w:r>
        <w:rPr>
          <w:rFonts w:ascii="Arial" w:cs="Arial" w:eastAsia="Arial" w:hAnsi="Arial"/>
          <w:color w:val="333333"/>
          <w:sz w:val="22"/>
          <w:szCs w:val="22"/>
        </w:rPr>
        <w:t xml:space="preserve">TBL is built AI-native from Day 1. Every role that can be augmented or replaced by AI is. This keeps headcount 60–70% below traditional SaaS companies at equivalent scale.</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400"/>
        <w:gridCol w:w="1400"/>
        <w:gridCol w:w="3360"/>
      </w:tblGrid>
      <w:tr>
        <w:tc>
          <w:tcPr>
            <w:tcW w:type="dxa" w:w="1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Department</w:t>
            </w:r>
          </w:p>
        </w:tc>
        <w:tc>
          <w:tcPr>
            <w:tcW w:type="dxa" w:w="1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Phase 1</w:t>
            </w:r>
          </w:p>
        </w:tc>
        <w:tc>
          <w:tcPr>
            <w:tcW w:type="dxa" w:w="1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Phase 2</w:t>
            </w:r>
          </w:p>
        </w:tc>
        <w:tc>
          <w:tcPr>
            <w:tcW w:type="dxa" w:w="1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Phase 3</w:t>
            </w:r>
          </w:p>
        </w:tc>
        <w:tc>
          <w:tcPr>
            <w:tcW w:type="dxa" w:w="33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AI Leverage</w:t>
            </w:r>
          </w:p>
        </w:tc>
      </w:tr>
      <w:tr>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Engineering</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2–3</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6–10</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20–40</w:t>
            </w:r>
          </w:p>
        </w:tc>
        <w:tc>
          <w:tcPr>
            <w:tcW w:type="dxa" w:w="3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AI writes 60% of code. Copilot-augmented team.</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Sales</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 (founder)</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4–6</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20–40</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AI qualifies leads, scores matches. Reps close.</w:t>
            </w:r>
          </w:p>
        </w:tc>
      </w:tr>
      <w:tr>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Operations</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0–1</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3–5</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15–30</w:t>
            </w:r>
          </w:p>
        </w:tc>
        <w:tc>
          <w:tcPr>
            <w:tcW w:type="dxa" w:w="3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AI handles intake, onboarding, escalations.</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Finance / Legal</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 (outsource)</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5–10</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AI generates ASC 842, tax reports, contracts.</w:t>
            </w:r>
          </w:p>
        </w:tc>
      </w:tr>
      <w:tr>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Marketing</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0–1</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10–20</w:t>
            </w:r>
          </w:p>
        </w:tc>
        <w:tc>
          <w:tcPr>
            <w:tcW w:type="dxa" w:w="3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AI content, SEO, campaign optimization.</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Executive</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 (founder)</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2–3</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5–10</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Strategic leadership. Not automatable.</w:t>
            </w:r>
          </w:p>
        </w:tc>
      </w:tr>
      <w:tr>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Support</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2–3</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10–25</w:t>
            </w:r>
          </w:p>
        </w:tc>
        <w:tc>
          <w:tcPr>
            <w:tcW w:type="dxa" w:w="3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AI chatbot handles 80%+ of inquiries.</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Total</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4–8</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20–35</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100–200+</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Traditional: 300–500+</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At traditional SaaS companies processing $1B+ in annual volume, headcount would be 300–500+. TBL’s AI-native architecture targets 100–200 at the same scale—saving $30M–$60M/yr in payroll.</w:t>
      </w:r>
    </w:p>
    <w:p>
      <w:r>
        <w:br w:type="page"/>
      </w:r>
    </w:p>
    <w:p>
      <w:pPr>
        <w:pStyle w:val="Heading1"/>
      </w:pPr>
      <w:r>
        <w:t xml:space="preserve">Capital Requirements &amp; Investment Structure</w:t>
      </w:r>
    </w:p>
    <w:p>
      <w:pPr>
        <w:pStyle w:val="Heading2"/>
      </w:pPr>
      <w:r>
        <w:t xml:space="preserve">Funding by Phase</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600"/>
        <w:gridCol w:w="1200"/>
        <w:gridCol w:w="1200"/>
        <w:gridCol w:w="3760"/>
      </w:tblGrid>
      <w:tr>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Round</w:t>
            </w:r>
          </w:p>
        </w:tc>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Amount</w:t>
            </w:r>
          </w:p>
        </w:tc>
        <w:tc>
          <w:tcPr>
            <w:tcW w:type="dxa" w:w="1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Timeline</w:t>
            </w:r>
          </w:p>
        </w:tc>
        <w:tc>
          <w:tcPr>
            <w:tcW w:type="dxa" w:w="1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Dilution</w:t>
            </w:r>
          </w:p>
        </w:tc>
        <w:tc>
          <w:tcPr>
            <w:tcW w:type="dxa" w:w="37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Use of Funds</w:t>
            </w:r>
          </w:p>
        </w:tc>
      </w:tr>
      <w:tr>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Seed</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$1M–$2M</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1</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10–20%</w:t>
            </w:r>
          </w:p>
        </w:tc>
        <w:tc>
          <w:tcPr>
            <w:tcW w:type="dxa" w:w="37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Engineering, MVP, subsidized TX launch</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A</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$15M–$25M</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2–3</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15–20%</w:t>
            </w:r>
          </w:p>
        </w:tc>
        <w:tc>
          <w:tcPr>
            <w:tcW w:type="dxa" w:w="3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National expansion, loss-leading pricing, 35 team</w:t>
            </w:r>
          </w:p>
        </w:tc>
      </w:tr>
      <w:tr>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B</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$100M–$200M</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3–4</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10–15%</w:t>
            </w:r>
          </w:p>
        </w:tc>
        <w:tc>
          <w:tcPr>
            <w:tcW w:type="dxa" w:w="37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Aggressive scale, lock in enterprises, 80+ team</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C</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$500M–$1B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5–6</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8–12%</w:t>
            </w:r>
          </w:p>
        </w:tc>
        <w:tc>
          <w:tcPr>
            <w:tcW w:type="dxa" w:w="3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 dominance push, 300 team, global</w:t>
            </w:r>
          </w:p>
        </w:tc>
      </w:tr>
      <w:tr>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D / IPO</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$1B–$2B</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7–8</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IPO</w:t>
            </w:r>
          </w:p>
        </w:tc>
        <w:tc>
          <w:tcPr>
            <w:tcW w:type="dxa" w:w="37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Full scale, 1,500 team, $24B revenue target</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Cumulative</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$1.6B–$3.2B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8 years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
            </w:r>
          </w:p>
        </w:tc>
        <w:tc>
          <w:tcPr>
            <w:tcW w:type="dxa" w:w="3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80% market capture. Operating losses funded through Year 3.</w:t>
            </w:r>
          </w:p>
        </w:tc>
      </w:tr>
    </w:tbl>
    <w:p>
      <w:pPr>
        <w:spacing w:after="120" w:before="120"/>
      </w:pPr>
    </w:p>
    <w:p>
      <w:pPr>
        <w:pStyle w:val="Heading2"/>
      </w:pPr>
      <w:r>
        <w:t xml:space="preserve">Seed Round: Use of Funds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5560"/>
      </w:tblGrid>
      <w:tr>
        <w:tc>
          <w:tcPr>
            <w:tcW w:type="dxa" w:w="2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Allocation</w:t>
            </w:r>
          </w:p>
        </w:tc>
        <w:tc>
          <w:tcPr>
            <w:tcW w:type="dxa" w:w="1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Amount</w:t>
            </w:r>
          </w:p>
        </w:tc>
        <w:tc>
          <w:tcPr>
            <w:tcW w:type="dxa" w:w="55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Detail</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Engineering (60%)</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$600K–$1.2M</w:t>
            </w:r>
          </w:p>
        </w:tc>
        <w:tc>
          <w:tcPr>
            <w:tcW w:type="dxa" w:w="55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AI matching engine, War Room negotiation, payment infrastructure, Gunga AI, 27 system integrations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Texas GTM (20%)</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$200K–$400K</w:t>
            </w:r>
          </w:p>
        </w:tc>
        <w:tc>
          <w:tcPr>
            <w:tcW w:type="dxa" w:w="5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Subsidized onboarding, loss-leading pricing, content marketing, SEO, Gunga-powered supplier onboarding</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Legal (10%)</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$100K–$200K</w:t>
            </w:r>
          </w:p>
        </w:tc>
        <w:tc>
          <w:tcPr>
            <w:tcW w:type="dxa" w:w="55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Entity formation, multi-state lease compliance engine, ASC 842 implementation, contract templates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Operations (10%)</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$100K–$200K</w:t>
            </w:r>
          </w:p>
        </w:tc>
        <w:tc>
          <w:tcPr>
            <w:tcW w:type="dxa" w:w="5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Office lease, insurance (D&amp;O, E&amp;O), tools and subscriptions, runway buffer</w:t>
            </w:r>
          </w:p>
        </w:tc>
      </w:tr>
    </w:tbl>
    <w:p>
      <w:pPr>
        <w:spacing w:after="120" w:before="120"/>
      </w:pPr>
    </w:p>
    <w:p>
      <w:pPr>
        <w:pStyle w:val="Heading2"/>
      </w:pPr>
      <w:r>
        <w:t xml:space="preserve">SBLOC Investment Structure</w:t>
      </w:r>
    </w:p>
    <w:p>
      <w:pPr>
        <w:spacing w:after="120"/>
      </w:pPr>
      <w:r>
        <w:rPr>
          <w:rFonts w:ascii="Arial" w:cs="Arial" w:eastAsia="Arial" w:hAnsi="Arial"/>
          <w:color w:val="333333"/>
          <w:sz w:val="22"/>
          <w:szCs w:val="22"/>
        </w:rPr>
        <w:t xml:space="preserve">For investors who prefer not to liquidate existing holdings, a Securities-Backed Line of Credit (SBLOC) offers a way to invest while keeping their portfolio intact:</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4160"/>
      </w:tblGrid>
      <w:tr>
        <w:tc>
          <w:tcPr>
            <w:tcW w:type="dxa" w:w="2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Feature</w:t>
            </w:r>
          </w:p>
        </w:tc>
        <w:tc>
          <w:tcPr>
            <w:tcW w:type="dxa" w:w="3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Detail</w:t>
            </w:r>
          </w:p>
        </w:tc>
        <w:tc>
          <w:tcPr>
            <w:tcW w:type="dxa" w:w="41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Notes</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Loan-to-Value</w:t>
            </w:r>
          </w:p>
        </w:tc>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50–70% of portfolio value</w:t>
            </w:r>
          </w:p>
        </w:tc>
        <w:tc>
          <w:tcPr>
            <w:tcW w:type="dxa" w:w="4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 $1M portfolio supports $500K–$700K in SBLOC borrowing</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Interest Rate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Variable, typically prime + spread</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Well below personal loans or credit cards; interest-only payments available</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Collateral</w:t>
            </w:r>
          </w:p>
        </w:tc>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Existing stock/bond portfolio</w:t>
            </w:r>
          </w:p>
        </w:tc>
        <w:tc>
          <w:tcPr>
            <w:tcW w:type="dxa" w:w="41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Securities stay invested and continue earning returns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Risk Management</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Conservative LTV ratio</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Diversified portfolio reduces margin call risk; monitor quarterly</w:t>
            </w:r>
          </w:p>
        </w:tc>
      </w:tr>
    </w:tbl>
    <w:p>
      <w:pPr>
        <w:spacing w:after="60" w:before="60"/>
      </w:pPr>
    </w:p>
    <w:p>
      <w:pPr>
        <w:spacing w:after="120"/>
      </w:pPr>
      <w:r>
        <w:rPr>
          <w:rFonts w:ascii="Arial" w:cs="Arial" w:eastAsia="Arial" w:hAnsi="Arial"/>
          <w:color w:val="333333"/>
          <w:sz w:val="22"/>
          <w:szCs w:val="22"/>
        </w:rPr>
        <w:t xml:space="preserve">Important: SBLOC proceeds may have restrictions on purchasing securities. This structure is designed for investing in private companies like TBL, not for buying additional stocks. Investors should consult their financial advisor for their specific situation.</w:t>
      </w:r>
    </w:p>
    <w:p>
      <w:r>
        <w:br w:type="page"/>
      </w:r>
    </w:p>
    <w:p>
      <w:pPr>
        <w:pStyle w:val="Heading1"/>
      </w:pPr>
      <w:r>
        <w:t xml:space="preserve">80/20 Market Dominance Model</w:t>
      </w:r>
    </w:p>
    <w:p>
      <w:pPr>
        <w:spacing w:after="120"/>
      </w:pPr>
      <w:r>
        <w:rPr>
          <w:rFonts w:ascii="Arial" w:cs="Arial" w:eastAsia="Arial" w:hAnsi="Arial"/>
          <w:color w:val="333333"/>
          <w:sz w:val="22"/>
          <w:szCs w:val="22"/>
        </w:rPr>
        <w:t xml:space="preserve">The 80/20 Model is TBL’s aggressive strategy to capture 80% of the $1.76 trillion addressable leasing market within 10 years. The core thesis: operating at a loss in the early years is not a failure—it is the strategy. By subsidizing onboarding, offering below-market pricing, and investing aggressively in platform infrastructure, TBL locks in market share before competitors can respond. Once the network effects and data moat compound, switching costs make the position unassailable.</w:t>
      </w:r>
    </w:p>
    <w:p>
      <w:pPr>
        <w:pBdr>
          <w:left w:val="single" w:color="CFA94A" w:sz="12" w:space="8"/>
        </w:pBdr>
        <w:spacing w:after="100" w:before="100"/>
        <w:ind w:left="200"/>
      </w:pPr>
      <w:r>
        <w:rPr>
          <w:rFonts w:ascii="Arial" w:cs="Arial" w:eastAsia="Arial" w:hAnsi="Arial"/>
          <w:i/>
          <w:iCs/>
          <w:color w:val="1A2332"/>
          <w:sz w:val="22"/>
          <w:szCs w:val="22"/>
        </w:rPr>
        <w:t xml:space="preserve">This is the Amazon playbook applied to leasing infrastructure. Lose money strategically for 3–4 years. Build the platform everyone depends on. Then collect.</w:t>
      </w:r>
    </w:p>
    <w:p>
      <w:pPr>
        <w:spacing w:after="60" w:before="60"/>
      </w:pPr>
    </w:p>
    <w:p>
      <w:pPr>
        <w:pStyle w:val="Heading2"/>
      </w:pPr>
      <w:r>
        <w:t xml:space="preserve">10-Year Path to 80% Capture</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900"/>
        <w:gridCol w:w="1200"/>
        <w:gridCol w:w="1000"/>
        <w:gridCol w:w="1100"/>
        <w:gridCol w:w="1000"/>
        <w:gridCol w:w="1600"/>
        <w:gridCol w:w="1960"/>
      </w:tblGrid>
      <w:tr>
        <w:tc>
          <w:tcPr>
            <w:tcW w:type="dxa" w:w="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Year</w:t>
            </w:r>
          </w:p>
        </w:tc>
        <w:tc>
          <w:tcPr>
            <w:tcW w:type="dxa" w:w="9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Capture</w:t>
            </w:r>
          </w:p>
        </w:tc>
        <w:tc>
          <w:tcPr>
            <w:tcW w:type="dxa" w:w="1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Volume</w:t>
            </w:r>
          </w:p>
        </w:tc>
        <w:tc>
          <w:tcPr>
            <w:tcW w:type="dxa" w:w="1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Blended Fee</w:t>
            </w:r>
          </w:p>
        </w:tc>
        <w:tc>
          <w:tcPr>
            <w:tcW w:type="dxa" w:w="11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Revenue</w:t>
            </w:r>
          </w:p>
        </w:tc>
        <w:tc>
          <w:tcPr>
            <w:tcW w:type="dxa" w:w="1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Headcount</w:t>
            </w:r>
          </w:p>
        </w:tc>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Capital Raise</w:t>
            </w:r>
          </w:p>
        </w:tc>
        <w:tc>
          <w:tcPr>
            <w:tcW w:type="dxa" w:w="19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Strategy</w:t>
            </w:r>
          </w:p>
        </w:tc>
      </w:tr>
      <w:tr>
        <w:tc>
          <w:tcPr>
            <w:tcW w:type="dxa" w:w="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w:t>
            </w:r>
          </w:p>
        </w:tc>
        <w:tc>
          <w:tcPr>
            <w:tcW w:type="dxa" w:w="9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0.1%</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$1.8B</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0.5%</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$9M</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Seed $1–2M</w:t>
            </w:r>
          </w:p>
        </w:tc>
        <w:tc>
          <w:tcPr>
            <w:tcW w:type="dxa" w:w="1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Free/subsidized TX onboarding. Build moat.</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$8.8B</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0.75%</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$66M</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A $15–25M</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Aggressive loss-leading pricing.</w:t>
            </w:r>
          </w:p>
        </w:tc>
      </w:tr>
      <w:tr>
        <w:tc>
          <w:tcPr>
            <w:tcW w:type="dxa" w:w="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w:t>
            </w:r>
          </w:p>
        </w:tc>
        <w:tc>
          <w:tcPr>
            <w:tcW w:type="dxa" w:w="9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$35B</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$350M</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35</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B $100–200M</w:t>
            </w:r>
          </w:p>
        </w:tc>
        <w:tc>
          <w:tcPr>
            <w:tcW w:type="dxa" w:w="1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National scale. Lock in enterprises.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4</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$88B</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1.25%</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$1.1B</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80</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Reinvest revenue. Data moat compounds.</w:t>
            </w:r>
          </w:p>
        </w:tc>
      </w:tr>
      <w:tr>
        <w:tc>
          <w:tcPr>
            <w:tcW w:type="dxa" w:w="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w:t>
            </w:r>
          </w:p>
        </w:tc>
        <w:tc>
          <w:tcPr>
            <w:tcW w:type="dxa" w:w="9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$176B</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$2.6B</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150</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C $500M–1B</w:t>
            </w:r>
          </w:p>
        </w:tc>
        <w:tc>
          <w:tcPr>
            <w:tcW w:type="dxa" w:w="1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Dominant platform. Rates normalizing.</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$352B</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1.75%</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$6.2B</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300</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Network effects lock out competitors.</w:t>
            </w:r>
          </w:p>
        </w:tc>
      </w:tr>
      <w:tr>
        <w:tc>
          <w:tcPr>
            <w:tcW w:type="dxa" w:w="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7</w:t>
            </w:r>
          </w:p>
        </w:tc>
        <w:tc>
          <w:tcPr>
            <w:tcW w:type="dxa" w:w="9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35%</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$616B</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1.85%</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$11.4B</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D/IPO $1–2B</w:t>
            </w:r>
          </w:p>
        </w:tc>
        <w:tc>
          <w:tcPr>
            <w:tcW w:type="dxa" w:w="1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Global expansion. Full fee structure.</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$880B</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1.9%</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$16.7B</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800</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Operating profit accelerates.</w:t>
            </w:r>
          </w:p>
        </w:tc>
      </w:tr>
      <w:tr>
        <w:tc>
          <w:tcPr>
            <w:tcW w:type="dxa" w:w="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w:t>
            </w:r>
          </w:p>
        </w:tc>
        <w:tc>
          <w:tcPr>
            <w:tcW w:type="dxa" w:w="9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65%</w:t>
            </w:r>
          </w:p>
        </w:tc>
        <w:tc>
          <w:tcPr>
            <w:tcW w:type="dxa" w:w="1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$1.14T</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1.95%</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$22.3B</w:t>
            </w:r>
          </w:p>
        </w:tc>
        <w:tc>
          <w:tcPr>
            <w:tcW w:type="dxa" w:w="1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1,200</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Infrastructure monopoly forming.</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$1.41T</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$24B</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1,500</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Market dominance. $24B revenue.</w:t>
            </w:r>
          </w:p>
        </w:tc>
      </w:tr>
    </w:tbl>
    <w:p>
      <w:pPr>
        <w:spacing w:after="120" w:before="120"/>
      </w:pPr>
    </w:p>
    <w:p>
      <w:pPr>
        <w:pStyle w:val="Heading2"/>
      </w:pPr>
      <w:r>
        <w:t xml:space="preserve">Why Loss-Leading Works</w:t>
      </w:r>
    </w:p>
    <w:p>
      <w:pPr>
        <w:spacing w:after="120"/>
      </w:pPr>
      <w:r>
        <w:rPr>
          <w:rFonts w:ascii="Arial" w:cs="Arial" w:eastAsia="Arial" w:hAnsi="Arial"/>
          <w:color w:val="333333"/>
          <w:sz w:val="22"/>
          <w:szCs w:val="22"/>
        </w:rPr>
        <w:t xml:space="preserve">The leasing market is fragmented, manual, and dominated by relationships rather than technology. No platform has ever attempted to consolidate it. The 80/20 strategy works because:</w:t>
      </w:r>
    </w:p>
    <w:p>
      <w:pPr>
        <w:spacing w:after="60" w:before="60"/>
      </w:pPr>
    </w:p>
    <w:p>
      <w:pPr>
        <w:spacing w:after="120"/>
      </w:pPr>
      <w:r>
        <w:rPr>
          <w:rFonts w:ascii="Arial" w:cs="Arial" w:eastAsia="Arial" w:hAnsi="Arial"/>
          <w:b/>
          <w:bCs/>
          <w:color w:val="333333"/>
          <w:sz w:val="22"/>
          <w:szCs w:val="22"/>
        </w:rPr>
        <w:t xml:space="preserve">1. Zero switching costs on entry, enormous switching costs once embedded.</w:t>
      </w:r>
    </w:p>
    <w:p>
      <w:pPr>
        <w:spacing w:after="120"/>
      </w:pPr>
      <w:r>
        <w:rPr>
          <w:rFonts w:ascii="Arial" w:cs="Arial" w:eastAsia="Arial" w:hAnsi="Arial"/>
          <w:color w:val="333333"/>
          <w:sz w:val="22"/>
          <w:szCs w:val="22"/>
        </w:rPr>
        <w:t xml:space="preserve">Companies pay nothing or near-nothing to onboard. Once their leases, payments, accounting, and compliance run through TBL, the cost of switching back to brokers and spreadsheets is prohibitive. Every month that passes deepens the integration.</w:t>
      </w:r>
    </w:p>
    <w:p>
      <w:pPr>
        <w:spacing w:after="60" w:before="60"/>
      </w:pPr>
    </w:p>
    <w:p>
      <w:pPr>
        <w:spacing w:after="120"/>
      </w:pPr>
      <w:r>
        <w:rPr>
          <w:rFonts w:ascii="Arial" w:cs="Arial" w:eastAsia="Arial" w:hAnsi="Arial"/>
          <w:b/>
          <w:bCs/>
          <w:color w:val="333333"/>
          <w:sz w:val="22"/>
          <w:szCs w:val="22"/>
        </w:rPr>
        <w:t xml:space="preserve">2. Data network effects compound with every transaction.</w:t>
      </w:r>
    </w:p>
    <w:p>
      <w:pPr>
        <w:spacing w:after="120"/>
      </w:pPr>
      <w:r>
        <w:rPr>
          <w:rFonts w:ascii="Arial" w:cs="Arial" w:eastAsia="Arial" w:hAnsi="Arial"/>
          <w:color w:val="333333"/>
          <w:sz w:val="22"/>
          <w:szCs w:val="22"/>
        </w:rPr>
        <w:t xml:space="preserve">Every lease processed adds to TBL’s proprietary pricing database. By Year 3, TBL has more lease comp data than any broker, any search platform, any accounting firm. By Year 5, the AI pricing engine is more accurate than any human appraiser. This data is the moat—it cannot be replicated without processing the same volume of transactions.</w:t>
      </w:r>
    </w:p>
    <w:p>
      <w:pPr>
        <w:spacing w:after="60" w:before="60"/>
      </w:pPr>
    </w:p>
    <w:p>
      <w:pPr>
        <w:spacing w:after="120"/>
      </w:pPr>
      <w:r>
        <w:rPr>
          <w:rFonts w:ascii="Arial" w:cs="Arial" w:eastAsia="Arial" w:hAnsi="Arial"/>
          <w:b/>
          <w:bCs/>
          <w:color w:val="333333"/>
          <w:sz w:val="22"/>
          <w:szCs w:val="22"/>
        </w:rPr>
        <w:t xml:space="preserve">3. The market has no incumbents to fight.</w:t>
      </w:r>
    </w:p>
    <w:p>
      <w:pPr>
        <w:spacing w:after="120"/>
      </w:pPr>
      <w:r>
        <w:rPr>
          <w:rFonts w:ascii="Arial" w:cs="Arial" w:eastAsia="Arial" w:hAnsi="Arial"/>
          <w:color w:val="333333"/>
          <w:sz w:val="22"/>
          <w:szCs w:val="22"/>
        </w:rPr>
        <w:t xml:space="preserve">There is no existing platform that does what TBL does across all four asset classes. Brokers are fragmented. Search platforms don’t transact. Accounting software doesn’t originate. TBL’s only competition is inertia—and subsidized pricing eliminates that objection entirely.</w:t>
      </w:r>
    </w:p>
    <w:p>
      <w:pPr>
        <w:spacing w:after="60" w:before="60"/>
      </w:pPr>
    </w:p>
    <w:p>
      <w:pPr>
        <w:spacing w:after="120"/>
      </w:pPr>
      <w:r>
        <w:rPr>
          <w:rFonts w:ascii="Arial" w:cs="Arial" w:eastAsia="Arial" w:hAnsi="Arial"/>
          <w:b/>
          <w:bCs/>
          <w:color w:val="333333"/>
          <w:sz w:val="22"/>
          <w:szCs w:val="22"/>
        </w:rPr>
        <w:t xml:space="preserve">4. Capital efficiency improves dramatically after Year 3.</w:t>
      </w:r>
    </w:p>
    <w:p>
      <w:pPr>
        <w:spacing w:after="120"/>
      </w:pPr>
      <w:r>
        <w:rPr>
          <w:rFonts w:ascii="Arial" w:cs="Arial" w:eastAsia="Arial" w:hAnsi="Arial"/>
          <w:color w:val="333333"/>
          <w:sz w:val="22"/>
          <w:szCs w:val="22"/>
        </w:rPr>
        <w:t xml:space="preserve">Operating losses in Years 1–3 are an investment in market position, not a structural cost problem. Once pricing normalizes to the full 2% platform fee and volume reaches critical mass, the platform generates $24B+ in annual revenue against relatively fixed infrastructure costs. The operating leverage is enormous.</w:t>
      </w:r>
    </w:p>
    <w:p>
      <w:pPr>
        <w:spacing w:after="120" w:before="120"/>
      </w:pPr>
    </w:p>
    <w:p>
      <w:pPr>
        <w:pStyle w:val="Heading2"/>
      </w:pPr>
      <w:r>
        <w:t xml:space="preserve">Capital Raise Schedule — 80/20 Model</w:t>
      </w:r>
    </w:p>
    <w:p>
      <w:pPr>
        <w:spacing w:after="60" w:before="60"/>
      </w:pP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400"/>
        <w:gridCol w:w="1500"/>
        <w:gridCol w:w="1100"/>
        <w:gridCol w:w="1100"/>
        <w:gridCol w:w="3260"/>
      </w:tblGrid>
      <w:tr>
        <w:tc>
          <w:tcPr>
            <w:tcW w:type="dxa" w:w="1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Round</w:t>
            </w:r>
          </w:p>
        </w:tc>
        <w:tc>
          <w:tcPr>
            <w:tcW w:type="dxa" w:w="1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Amount</w:t>
            </w:r>
          </w:p>
        </w:tc>
        <w:tc>
          <w:tcPr>
            <w:tcW w:type="dxa" w:w="11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Timeline</w:t>
            </w:r>
          </w:p>
        </w:tc>
        <w:tc>
          <w:tcPr>
            <w:tcW w:type="dxa" w:w="11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Dilution</w:t>
            </w:r>
          </w:p>
        </w:tc>
        <w:tc>
          <w:tcPr>
            <w:tcW w:type="dxa" w:w="32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Use of Funds</w:t>
            </w:r>
          </w:p>
        </w:tc>
      </w:tr>
      <w:tr>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Seed</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$1M–$2M</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1</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10–20%</w:t>
            </w:r>
          </w:p>
        </w:tc>
        <w:tc>
          <w:tcPr>
            <w:tcW w:type="dxa" w:w="3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MVP engineering, subsidized TX launch, Gunga AI, first 200 leases</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A</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$15M–$25M</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2–3</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15–20%</w:t>
            </w:r>
          </w:p>
        </w:tc>
        <w:tc>
          <w:tcPr>
            <w:tcW w:type="dxa" w:w="3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National expansion, loss-leading pricing to capture 2% market share, 35 team</w:t>
            </w:r>
          </w:p>
        </w:tc>
      </w:tr>
      <w:tr>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B</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$100M–$200M</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3–4</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10–15%</w:t>
            </w:r>
          </w:p>
        </w:tc>
        <w:tc>
          <w:tcPr>
            <w:tcW w:type="dxa" w:w="3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Aggressive scale to 5% capture, 80+ headcount, enterprise lock-in, data moat</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C</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$500M–$1B</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5–6</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8–12%</w:t>
            </w:r>
          </w:p>
        </w:tc>
        <w:tc>
          <w:tcPr>
            <w:tcW w:type="dxa" w:w="3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Push to 20% capture, 300 team, rates normalizing, global expansion begins</w:t>
            </w:r>
          </w:p>
        </w:tc>
      </w:tr>
      <w:tr>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Series D / IPO</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$1B–$2B</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Year 7–8</w:t>
            </w:r>
          </w:p>
        </w:tc>
        <w:tc>
          <w:tcPr>
            <w:tcW w:type="dxa" w:w="11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IPO</w:t>
            </w:r>
          </w:p>
        </w:tc>
        <w:tc>
          <w:tcPr>
            <w:tcW w:type="dxa" w:w="32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Final push to 80% dominance, 1,500 team, $24B revenue target, public markets</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Total</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$1.6B–$3.2B</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8 years</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
            </w:r>
          </w:p>
        </w:tc>
        <w:tc>
          <w:tcPr>
            <w:tcW w:type="dxa" w:w="32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80% capture achieved. Platform generates $23B+ operating profit at scale.</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Total external capital: $1.6B–$3.2B over 8 years. At Year 10, the platform generates $24B in revenue and $23B+ in operating profit—a 7–15x return on total invested capital. The loss-leading phase is an investment in an unassailable market position, not a structural deficit.</w:t>
      </w:r>
    </w:p>
    <w:p>
      <w:r>
        <w:br w:type="page"/>
      </w:r>
    </w:p>
    <w:p>
      <w:pPr>
        <w:pStyle w:val="Heading1"/>
      </w:pPr>
      <w:r>
        <w:t xml:space="preserve">Estable Corporation: Parent Entity &amp; Vision</w:t>
      </w:r>
    </w:p>
    <w:p>
      <w:pPr>
        <w:spacing w:after="120"/>
      </w:pPr>
      <w:r>
        <w:rPr>
          <w:rFonts w:ascii="Arial" w:cs="Arial" w:eastAsia="Arial" w:hAnsi="Arial"/>
          <w:color w:val="333333"/>
          <w:sz w:val="22"/>
          <w:szCs w:val="22"/>
        </w:rPr>
        <w:t xml:space="preserve">Estable Corporation is a Delaware C-Corp and the parent holding company that owns and operates both The Big Lease, Inc. and Super Hot Fire, LLC. Max Dickey serves as CEO. Headquarters will establish in Palm Beach/Miami by 2028, positioning Estable at the intersection of global capital markets, Latin American energy corridors, and the growing South Florida technology ecosystem.</w:t>
      </w:r>
    </w:p>
    <w:p>
      <w:pPr>
        <w:spacing w:after="60" w:before="60"/>
      </w:pPr>
    </w:p>
    <w:p>
      <w:pPr>
        <w:pStyle w:val="Heading2"/>
      </w:pPr>
      <w:r>
        <w:t xml:space="preserve">The Vision: Visa for Energy-as-Currency</w:t>
      </w:r>
    </w:p>
    <w:p>
      <w:pPr>
        <w:spacing w:after="120"/>
      </w:pPr>
      <w:r>
        <w:rPr>
          <w:rFonts w:ascii="Arial" w:cs="Arial" w:eastAsia="Arial" w:hAnsi="Arial"/>
          <w:b/>
          <w:bCs/>
          <w:color w:val="333333"/>
          <w:sz w:val="22"/>
          <w:szCs w:val="22"/>
        </w:rPr>
        <w:t xml:space="preserve">Mission: The End of Inflation.</w:t>
      </w:r>
    </w:p>
    <w:p>
      <w:pPr>
        <w:spacing w:after="120"/>
      </w:pPr>
      <w:r>
        <w:rPr>
          <w:rFonts w:ascii="Arial" w:cs="Arial" w:eastAsia="Arial" w:hAnsi="Arial"/>
          <w:color w:val="333333"/>
          <w:sz w:val="22"/>
          <w:szCs w:val="22"/>
        </w:rPr>
        <w:t xml:space="preserve">Inflation is, at its core, an energy problem. When energy costs rise, everything rises—food, housing, transportation, manufacturing. When energy becomes abundant, cheap, and efficiently distributed, the cost basis of the entire economy drops. Estable’s mission is to build the infrastructure that makes energy so efficiently transacted, so seamlessly financed, and so intelligently managed that it eliminates the friction that drives inflationary pressure. The end of inflation is not a monetary policy outcome—it is an energy infrastructure outcome. Estable is building that infrastructure.</w:t>
      </w:r>
    </w:p>
    <w:p>
      <w:pPr>
        <w:spacing w:after="120"/>
      </w:pPr>
      <w:r>
        <w:rPr>
          <w:rFonts w:ascii="Arial" w:cs="Arial" w:eastAsia="Arial" w:hAnsi="Arial"/>
          <w:color w:val="333333"/>
          <w:sz w:val="22"/>
          <w:szCs w:val="22"/>
        </w:rPr>
        <w:t xml:space="preserve">The thesis is that energy is becoming the foundational currency of the global economy. Every AI data center, every advanced nuclear reactor, every lunar mining operation, every autonomous manufacturing facility—all of them run on energy. As energy production, storage, and distribution become the backbone of economic activity, the companies that process the transactions around energy infrastructure become the rails on which the new economy operates.</w:t>
      </w:r>
    </w:p>
    <w:p>
      <w:pPr>
        <w:spacing w:after="120"/>
      </w:pPr>
      <w:r>
        <w:rPr>
          <w:rFonts w:ascii="Arial" w:cs="Arial" w:eastAsia="Arial" w:hAnsi="Arial"/>
          <w:color w:val="333333"/>
          <w:sz w:val="22"/>
          <w:szCs w:val="22"/>
        </w:rPr>
        <w:t xml:space="preserve">Estable’s goal is to become what Visa is to financial transactions—but for when energy becomes currency. Visa doesn’t hold money; it processes every transaction. Estable won’t produce energy; it will process every lease, agreement, and asset transfer in the energy economy through its subsidiaries. The Big Lease handles the leasing infrastructure. Super Hot Fire captures stranded energy and converts it to productive output. Together, they form the transaction layer for the energy transition.</w:t>
      </w:r>
    </w:p>
    <w:p>
      <w:pPr>
        <w:spacing w:after="120"/>
      </w:pPr>
      <w:r>
        <w:rPr>
          <w:rFonts w:ascii="Arial" w:cs="Arial" w:eastAsia="Arial" w:hAnsi="Arial"/>
          <w:color w:val="333333"/>
          <w:sz w:val="22"/>
          <w:szCs w:val="22"/>
        </w:rPr>
        <w:t xml:space="preserve">Additionally, Estable provides automation services for industries—the same AI and integration capabilities that power TBL’s platform are deployed as enterprise automation solutions across energy, logistics, real estate, and manufacturing verticals. This creates a third revenue stream at the parent level beyond TBL and Super Hot Fire.</w:t>
      </w:r>
    </w:p>
    <w:p>
      <w:pPr>
        <w:spacing w:after="120"/>
      </w:pPr>
      <w:r>
        <w:rPr>
          <w:rFonts w:ascii="Arial" w:cs="Arial" w:eastAsia="Arial" w:hAnsi="Arial"/>
          <w:color w:val="333333"/>
          <w:sz w:val="22"/>
          <w:szCs w:val="22"/>
        </w:rPr>
        <w:t xml:space="preserve">A key target vertical is the municipal bond industry. Municipal bonds fund the infrastructure that energy expansion depends on—power grids, water systems, roads, data center campuses, industrial parks. The muni bond market exceeds $4 trillion in outstanding issuance, yet the origination, underwriting, compliance, and lifecycle management processes remain heavily manual, fragmented across thousands of issuers, and dependent on legacy systems. Estable’s automation platform will streamline muni bond issuance workflows, automate compliance reporting (including continuing disclosure obligations), and integrate payment processing and investor communications—applying the same AI-native approach that TBL brings to leasing. As energy infrastructure spending accelerates across the Boom Belt, municipal bond issuance to fund that infrastructure will surge in parallel. Estable sits at both ends of the transaction: TBL processes the leases for the infrastructure, and the parent automates the bonds that finance it.</w:t>
      </w:r>
    </w:p>
    <w:p>
      <w:pPr>
        <w:spacing w:after="120"/>
      </w:pPr>
      <w:r>
        <w:rPr>
          <w:rFonts w:ascii="Arial" w:cs="Arial" w:eastAsia="Arial" w:hAnsi="Arial"/>
          <w:color w:val="333333"/>
          <w:sz w:val="22"/>
          <w:szCs w:val="22"/>
        </w:rPr>
        <w:t xml:space="preserve">Estable will also provide financing directly to clients of The Big Lease. Today, lessees secure their own financing through banks, SBA loans, or private lenders—a fragmented process that adds weeks to deal timelines and often kills transactions entirely. By offering embedded financing at the Estable level, the platform closes the loop: a lessee discovers an asset on TBL, negotiates terms in the War Room, and secures financing without ever leaving the platform. This creates a vertically integrated transaction experience—discovery, negotiation, financing, payments, accounting, and lifecycle management in one system. The financing arm generates interest income and origination fees for Estable while dramatically increasing TBL’s conversion rates, since the number-one reason deals stall is the lessee’s inability to secure capital quickly. It also deepens the moat: once a client’s financing, lease, and payments all run through the Estable ecosystem, switching costs become enormous.</w:t>
      </w:r>
    </w:p>
    <w:p>
      <w:pPr>
        <w:spacing w:after="120"/>
      </w:pPr>
      <w:r>
        <w:rPr>
          <w:rFonts w:ascii="Arial" w:cs="Arial" w:eastAsia="Arial" w:hAnsi="Arial"/>
          <w:color w:val="333333"/>
          <w:sz w:val="22"/>
          <w:szCs w:val="22"/>
        </w:rPr>
        <w:t xml:space="preserve">Estable will additionally offer wealth transfer services. As the silver tsunami accelerates, trillions of dollars in commercial real estate, equipment portfolios, and energy infrastructure assets will change hands between generations. The same platform that manages lease lifecycles, accounting, and compliance is uniquely positioned to facilitate estate planning and asset transition—ensuring continuity of lease agreements, tax-optimized transfers, and seamless handoffs of portfolio management from one generation to the next. This service layer generates advisory and transaction fees while deepening long-term client relationships across generational timelines.</w:t>
      </w:r>
    </w:p>
    <w:p>
      <w:pPr>
        <w:spacing w:after="60" w:before="60"/>
      </w:pPr>
    </w:p>
    <w:p>
      <w:pPr>
        <w:pStyle w:val="Heading2"/>
      </w:pPr>
      <w:r>
        <w:t xml:space="preserve">Corporate Structure</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500"/>
        <w:gridCol w:w="1400"/>
        <w:gridCol w:w="1500"/>
        <w:gridCol w:w="2960"/>
      </w:tblGrid>
      <w:tr>
        <w:tc>
          <w:tcPr>
            <w:tcW w:type="dxa" w:w="2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Entity</w:t>
            </w:r>
          </w:p>
        </w:tc>
        <w:tc>
          <w:tcPr>
            <w:tcW w:type="dxa" w:w="1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Role</w:t>
            </w:r>
          </w:p>
        </w:tc>
        <w:tc>
          <w:tcPr>
            <w:tcW w:type="dxa" w:w="1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Entity Type</w:t>
            </w:r>
          </w:p>
        </w:tc>
        <w:tc>
          <w:tcPr>
            <w:tcW w:type="dxa" w:w="1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Leadership</w:t>
            </w:r>
          </w:p>
        </w:tc>
        <w:tc>
          <w:tcPr>
            <w:tcW w:type="dxa" w:w="29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Focus</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Estable Corporation</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Parent Holding Co.</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Delaware C-Corp</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Max Dickey, CEO</w:t>
            </w:r>
          </w:p>
        </w:tc>
        <w:tc>
          <w:tcPr>
            <w:tcW w:type="dxa" w:w="2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Palm Beach/Miami (2028). Energy transaction infrastructure, industrial automation, muni bond automation, embedded financing, wealth transfer services.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The Big Lease, Inc.</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Operating Subsidiary</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Delaware C-Corp</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Reporting to Estable</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Full-lifecycle leasing platform across 4 asset classes—terrestrial and lunar. Austin/Dallas operations.</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Super Hot Fire, LLC</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Operating Subsidiary</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LLC</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Reporting to Estable</w:t>
            </w:r>
          </w:p>
        </w:tc>
        <w:tc>
          <w:tcPr>
            <w:tcW w:type="dxa" w:w="2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Gas/flare repurposing—capturing stranded energy and converting waste to productive output.</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Note Logistics, LLC</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Operating Subsidiary</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LLC</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Reporting to Estable</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Workforce development—mental frameworks and information technology incentivizing continued growth despite an automated economy.</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MaxxNotes</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Separate Entity</w:t>
            </w:r>
          </w:p>
        </w:tc>
        <w:tc>
          <w:tcPr>
            <w:tcW w:type="dxa" w:w="14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TBD</w:t>
            </w:r>
          </w:p>
        </w:tc>
        <w:tc>
          <w:tcPr>
            <w:tcW w:type="dxa" w:w="15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Max Dickey</w:t>
            </w:r>
          </w:p>
        </w:tc>
        <w:tc>
          <w:tcPr>
            <w:tcW w:type="dxa" w:w="2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Workforce development content and education platform. Mental frameworks, IT training, and growth-oriented curricula designed to equip individuals and organizations to thrive alongside AI and automation.</w:t>
            </w:r>
          </w:p>
        </w:tc>
      </w:tr>
    </w:tbl>
    <w:p>
      <w:pPr>
        <w:spacing w:after="120" w:before="120"/>
      </w:pPr>
    </w:p>
    <w:p>
      <w:pPr>
        <w:spacing w:after="120"/>
      </w:pPr>
      <w:r>
        <w:rPr>
          <w:rFonts w:ascii="Arial" w:cs="Arial" w:eastAsia="Arial" w:hAnsi="Arial"/>
          <w:color w:val="333333"/>
          <w:sz w:val="22"/>
          <w:szCs w:val="22"/>
        </w:rPr>
        <w:t xml:space="preserve">Note Logistics, LLC operates as an Estable subsidiary focused on workforce development—building mental frameworks and information technology programs that incentivize continued human growth despite an increasingly automated economy. As AI displaces traditional roles, Note Logistics ensures the workforce adapts by providing structured learning paths, technical upskilling, and cognitive frameworks for navigating the AI-driven economy.</w:t>
      </w:r>
    </w:p>
    <w:p>
      <w:pPr>
        <w:spacing w:after="120"/>
      </w:pPr>
      <w:r>
        <w:rPr>
          <w:rFonts w:ascii="Arial" w:cs="Arial" w:eastAsia="Arial" w:hAnsi="Arial"/>
          <w:color w:val="333333"/>
          <w:sz w:val="22"/>
          <w:szCs w:val="22"/>
        </w:rPr>
        <w:t xml:space="preserve">MaxxNotes operates as a separate entity under Max Dickey, focused on workforce development content and education. MaxxNotes produces mental frameworks, IT training materials, and growth-oriented curricula designed to equip individuals and organizations to thrive alongside AI and automation. While independent from Estable, MaxxNotes is strategically aligned—the same workforce transformation that TBL and Note Logistics drive through infrastructure and training, MaxxNotes delivers through content and education at scale.</w:t>
      </w:r>
    </w:p>
    <w:p>
      <w:pPr>
        <w:spacing w:after="120" w:before="120"/>
      </w:pPr>
    </w:p>
    <w:p>
      <w:pPr>
        <w:pStyle w:val="Heading2"/>
      </w:pPr>
      <w:r>
        <w:t xml:space="preserve">Governance Framework</w:t>
      </w:r>
    </w:p>
    <w:p>
      <w:pPr>
        <w:spacing w:after="120"/>
      </w:pPr>
      <w:r>
        <w:rPr>
          <w:rFonts w:ascii="Arial" w:cs="Arial" w:eastAsia="Arial" w:hAnsi="Arial"/>
          <w:color w:val="333333"/>
          <w:sz w:val="22"/>
          <w:szCs w:val="22"/>
        </w:rPr>
        <w:t xml:space="preserve">Estable Corporation provides centralized governance while allowing each subsidiary operational autonomy:</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Function</w:t>
            </w:r>
          </w:p>
        </w:tc>
        <w:tc>
          <w:tcPr>
            <w:tcW w:type="dxa" w:w="73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Detail</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Board of Directors</w:t>
            </w:r>
          </w:p>
        </w:tc>
        <w:tc>
          <w:tcPr>
            <w:tcW w:type="dxa" w:w="7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Estable Corp board oversees all subsidiaries. Composed of Max Dickey (CEO), independent directors, and investor representatives as the company scales.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Capital Allocation</w:t>
            </w:r>
          </w:p>
        </w:tc>
        <w:tc>
          <w:tcPr>
            <w:tcW w:type="dxa" w:w="7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Estable controls fundraising and distributes capital to subsidiaries based on growth stage and strategic priority. Investors into TBL invest through Estable, gaining exposure to both operating companies and the parent’s automation services.</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Shared Services</w:t>
            </w:r>
          </w:p>
        </w:tc>
        <w:tc>
          <w:tcPr>
            <w:tcW w:type="dxa" w:w="7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Legal, finance, HR, and IT infrastructure managed at the Estable level, reducing overhead for TBL, Super Hot Fire, and Note Logistics. Shared AI capabilities and cloud infrastructure across all entities.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Financial Reporting</w:t>
            </w:r>
          </w:p>
        </w:tc>
        <w:tc>
          <w:tcPr>
            <w:tcW w:type="dxa" w:w="7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Consolidated financials at the Estable level with subsidiary-level P&amp;L transparency. Each entity maintains independent books for regulatory and tax purposes.</w:t>
            </w:r>
          </w:p>
        </w:tc>
      </w:tr>
      <w:tr>
        <w:tc>
          <w:tcPr>
            <w:tcW w:type="dxa" w:w="20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Intellectual Property</w:t>
            </w:r>
          </w:p>
        </w:tc>
        <w:tc>
          <w:tcPr>
            <w:tcW w:type="dxa" w:w="7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Core technology IP (AI engines, platform code, automation tools) owned by Estable and licensed to subsidiaries. Protects IP in the event of subsidiary-level restructuring.</w:t>
            </w:r>
          </w:p>
        </w:tc>
      </w:tr>
    </w:tbl>
    <w:p>
      <w:pPr>
        <w:spacing w:after="120" w:before="120"/>
      </w:pPr>
    </w:p>
    <w:p>
      <w:pPr>
        <w:pStyle w:val="Heading2"/>
      </w:pPr>
      <w:r>
        <w:t xml:space="preserve">The Big Lease on the Moon: Replicating Texas Pacific Land Corporation</w:t>
      </w:r>
    </w:p>
    <w:p>
      <w:pPr>
        <w:spacing w:after="120"/>
      </w:pPr>
      <w:r>
        <w:rPr>
          <w:rFonts w:ascii="Arial" w:cs="Arial" w:eastAsia="Arial" w:hAnsi="Arial"/>
          <w:color w:val="333333"/>
          <w:sz w:val="22"/>
          <w:szCs w:val="22"/>
        </w:rPr>
        <w:t xml:space="preserve">Texas Pacific Land Corporation (TPL) owns 882,000 surface acres and 224,000 net royalty acres in the Permian Basin. TPL doesn’t drill—it collects royalties on every barrel of oil extracted, charges easements for every pipeline and power line that crosses its land, sells water services to operators, and leases surface rights for solar, wind, and data center infrastructure. In 2025, TPL generated $687M in adjusted EBITDA with an asset-light model that consistently exceeds 60% net margins.</w:t>
      </w:r>
    </w:p>
    <w:p>
      <w:pPr>
        <w:spacing w:after="120"/>
      </w:pPr>
      <w:r>
        <w:rPr>
          <w:rFonts w:ascii="Arial" w:cs="Arial" w:eastAsia="Arial" w:hAnsi="Arial"/>
          <w:color w:val="333333"/>
          <w:sz w:val="22"/>
          <w:szCs w:val="22"/>
        </w:rPr>
        <w:t xml:space="preserve">The Big Lease intends to replicate this model on the lunar surface. As Artemis infrastructure expands and commercial entities establish mining concessions, habitat zones, and research stations, TBL will position itself as the lease management and transaction infrastructure for lunar acreage—the same role TPL plays in the Permian Basin, applied to the Moon.</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Dimension</w:t>
            </w:r>
          </w:p>
        </w:tc>
        <w:tc>
          <w:tcPr>
            <w:tcW w:type="dxa" w:w="35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TPL (Permian Basin)</w:t>
            </w:r>
          </w:p>
        </w:tc>
        <w:tc>
          <w:tcPr>
            <w:tcW w:type="dxa" w:w="358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TBL (Lunar Surface)</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Asset base</w:t>
            </w:r>
          </w:p>
        </w:tc>
        <w:tc>
          <w:tcPr>
            <w:tcW w:type="dxa" w:w="35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882,000 surface acres, Permian Basin</w:t>
            </w:r>
          </w:p>
        </w:tc>
        <w:tc>
          <w:tcPr>
            <w:tcW w:type="dxa" w:w="35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Lunar surface-use agreements, mining concessions, habitat leases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Revenue: Royalties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Oil &amp; gas royalties on production from its acreage</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Processing royalties on Helium-3 extraction and resource output from leased lunar zones</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Revenue: Easements</w:t>
            </w:r>
          </w:p>
        </w:tc>
        <w:tc>
          <w:tcPr>
            <w:tcW w:type="dxa" w:w="35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Pipeline, power line, road easements across its land</w:t>
            </w:r>
          </w:p>
        </w:tc>
        <w:tc>
          <w:tcPr>
            <w:tcW w:type="dxa" w:w="35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Transit corridors, communications infrastructure, power transmission across lunar surface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Revenue: Water/Resources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Produced water disposal, brackish water sales for fracking</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Water ice extraction rights, regolith processing, oxygen production from leased sites</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Revenue: Surface Leases</w:t>
            </w:r>
          </w:p>
        </w:tc>
        <w:tc>
          <w:tcPr>
            <w:tcW w:type="dxa" w:w="35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Solar farms, wind turbines, data centers on TPL land</w:t>
            </w:r>
          </w:p>
        </w:tc>
        <w:tc>
          <w:tcPr>
            <w:tcW w:type="dxa" w:w="35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Habitat modules, research stations, launch/landing zones on managed lunar acreage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Model</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Asset-light: own the land, collect on every activity</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Asset-light: manage the leases, collect on every transaction and renewal</w:t>
            </w:r>
          </w:p>
        </w:tc>
      </w:tr>
      <w:tr>
        <w:tc>
          <w:tcPr>
            <w:tcW w:type="dxa" w:w="2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2025 EBITDA / Target</w:t>
            </w:r>
          </w:p>
        </w:tc>
        <w:tc>
          <w:tcPr>
            <w:tcW w:type="dxa" w:w="35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$687M (TPL actual)</w:t>
            </w:r>
          </w:p>
        </w:tc>
        <w:tc>
          <w:tcPr>
            <w:tcW w:type="dxa" w:w="358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bCs/>
                <w:color w:val="333333"/>
                <w:sz w:val="20"/>
                <w:szCs w:val="20"/>
              </w:rPr>
              <w:t xml:space="preserve">TBL lunar operations target Phase 3+</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TPL built a $30B+ market cap by owning land in the right place at the right time—the Permian Basin during the shale revolution. TBL is positioning to do the same for lunar acreage during the space commercialization era. The playbook is identical: own the transaction infrastructure for the land, collect on every activity that happens on it, and compound the data moat over decades.</w:t>
      </w:r>
    </w:p>
    <w:p>
      <w:pPr>
        <w:spacing w:after="120" w:before="120"/>
      </w:pPr>
    </w:p>
    <w:p>
      <w:pPr>
        <w:pStyle w:val="Heading2"/>
      </w:pPr>
      <w:r>
        <w:t xml:space="preserve">Strategic Synergy</w:t>
      </w:r>
    </w:p>
    <w:p>
      <w:pPr>
        <w:spacing w:after="120"/>
      </w:pPr>
      <w:r>
        <w:rPr>
          <w:rFonts w:ascii="Arial" w:cs="Arial" w:eastAsia="Arial" w:hAnsi="Arial"/>
          <w:color w:val="333333"/>
          <w:sz w:val="22"/>
          <w:szCs w:val="22"/>
        </w:rPr>
        <w:t xml:space="preserve">The Big Lease and Super Hot Fire are strategically complementary. Super Hot Fire’s gas/flare repurposing operations sit squarely within the energy infrastructure that TBL’s platform serves—equipment leases for repurposing systems, land agreements for flare sites, and industrial real estate for processing facilities. As both companies scale, cross-referral and shared customer relationships create compounding value under the Estable umbrella.</w:t>
      </w:r>
    </w:p>
    <w:p>
      <w:pPr>
        <w:spacing w:after="120"/>
      </w:pPr>
      <w:r>
        <w:rPr>
          <w:rFonts w:ascii="Arial" w:cs="Arial" w:eastAsia="Arial" w:hAnsi="Arial"/>
          <w:color w:val="333333"/>
          <w:sz w:val="22"/>
          <w:szCs w:val="22"/>
        </w:rPr>
        <w:t xml:space="preserve">The Visa analogy holds across all three entities: TBL processes the lease transactions, Super Hot Fire captures and converts the energy, and Estable’s automation services connect the systems. When energy becomes currency, Estable is the network that clears the transactions.</w:t>
      </w:r>
    </w:p>
    <w:p>
      <w:pPr>
        <w:pBdr>
          <w:left w:val="single" w:color="CFA94A" w:sz="12" w:space="8"/>
        </w:pBdr>
        <w:spacing w:after="100" w:before="100"/>
        <w:ind w:left="200"/>
      </w:pPr>
      <w:r>
        <w:rPr>
          <w:rFonts w:ascii="Arial" w:cs="Arial" w:eastAsia="Arial" w:hAnsi="Arial"/>
          <w:i/>
          <w:iCs/>
          <w:color w:val="1A2332"/>
          <w:sz w:val="22"/>
          <w:szCs w:val="22"/>
        </w:rPr>
        <w:t xml:space="preserve">Estable Corporation is not a passive holding company—it is the strategic engine building the transaction infrastructure for the energy economy. From Permian Basin leases to lunar acreage, from gas flare repurposing to industrial automation, Max Dickey’s vision as CEO ties every piece together under one roof.</w:t>
      </w:r>
    </w:p>
    <w:p>
      <w:r>
        <w:br w:type="page"/>
      </w:r>
    </w:p>
    <w:p>
      <w:pPr>
        <w:pStyle w:val="Heading1"/>
      </w:pPr>
      <w:r>
        <w:t xml:space="preserve">Macro Tailwinds: Supporting Data</w:t>
      </w:r>
    </w:p>
    <w:p>
      <w:pPr>
        <w:pStyle w:val="Heading2"/>
      </w:pPr>
      <w:r>
        <w:t xml:space="preserve">The AI Boom &amp; Energy Surge</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4360"/>
      </w:tblGrid>
      <w:tr>
        <w:tc>
          <w:tcPr>
            <w:tcW w:type="dxa" w:w="3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Indicator</w:t>
            </w:r>
          </w:p>
        </w:tc>
        <w:tc>
          <w:tcPr>
            <w:tcW w:type="dxa" w:w="1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Value</w:t>
            </w:r>
          </w:p>
        </w:tc>
        <w:tc>
          <w:tcPr>
            <w:tcW w:type="dxa" w:w="43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Significance</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Big Tech AI infrastructure spend (2026)</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$650B+</w:t>
            </w:r>
          </w:p>
        </w:tc>
        <w:tc>
          <w:tcPr>
            <w:tcW w:type="dxa" w:w="4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Microsoft, Google, Amazon, Meta combined capital expenditure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US data center construction starts (H1 2026)</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$88B+</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Up 190% from 2024; every data center needs land, power, equipment leases</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Stargate Project</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 GW planned</w:t>
            </w:r>
          </w:p>
        </w:tc>
        <w:tc>
          <w:tcPr>
            <w:tcW w:type="dxa" w:w="4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$500B multi-year buildout for AI-ready power infrastructure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Energy demand growth</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Fastest in 20+ years</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AI compute driving unprecedented power demand across Boom Belt states</w:t>
            </w:r>
          </w:p>
        </w:tc>
      </w:tr>
    </w:tbl>
    <w:p>
      <w:pPr>
        <w:spacing w:after="120" w:before="120"/>
      </w:pPr>
    </w:p>
    <w:p>
      <w:pPr>
        <w:pStyle w:val="Heading2"/>
      </w:pPr>
      <w:r>
        <w:t xml:space="preserve">The Silver Tsunami</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4360"/>
      </w:tblGrid>
      <w:tr>
        <w:tc>
          <w:tcPr>
            <w:tcW w:type="dxa" w:w="3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Indicator</w:t>
            </w:r>
          </w:p>
        </w:tc>
        <w:tc>
          <w:tcPr>
            <w:tcW w:type="dxa" w:w="1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Value</w:t>
            </w:r>
          </w:p>
        </w:tc>
        <w:tc>
          <w:tcPr>
            <w:tcW w:type="dxa" w:w="43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Significance</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Boomers turning 65 daily</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10,000/day</w:t>
            </w:r>
          </w:p>
        </w:tc>
        <w:tc>
          <w:tcPr>
            <w:tcW w:type="dxa" w:w="4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Through 2030; largest generational wealth transfer in history</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Businesses owned by 55+</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12 million</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Most have no succession plan; assets will be stranded or sold at discount</w:t>
            </w:r>
          </w:p>
        </w:tc>
      </w:tr>
      <w:tr>
        <w:tc>
          <w:tcPr>
            <w:tcW w:type="dxa" w:w="32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No formal exit strategy</w:t>
            </w:r>
          </w:p>
        </w:tc>
        <w:tc>
          <w:tcPr>
            <w:tcW w:type="dxa" w:w="1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85%</w:t>
            </w:r>
          </w:p>
        </w:tc>
        <w:tc>
          <w:tcPr>
            <w:tcW w:type="dxa" w:w="43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These business owners have zero plan for transferring their assets</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Asset transfer value</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$Trillions</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Equipment, real estate, land, and businesses that must change hands</w:t>
            </w:r>
          </w:p>
        </w:tc>
      </w:tr>
    </w:tbl>
    <w:p>
      <w:pPr>
        <w:spacing w:after="120" w:before="120"/>
      </w:pPr>
    </w:p>
    <w:p>
      <w:pPr>
        <w:pStyle w:val="Heading2"/>
      </w:pPr>
      <w:r>
        <w:t xml:space="preserve">Next-Generation Energy: Artemis, Helium-3 &amp; Advanced Nuclear</w:t>
      </w:r>
    </w:p>
    <w:p>
      <w:pPr>
        <w:spacing w:after="120"/>
      </w:pPr>
      <w:r>
        <w:rPr>
          <w:rFonts w:ascii="Arial" w:cs="Arial" w:eastAsia="Arial" w:hAnsi="Arial"/>
          <w:color w:val="333333"/>
          <w:sz w:val="22"/>
          <w:szCs w:val="22"/>
        </w:rPr>
        <w:t xml:space="preserve">Beyond today’s AI-driven energy surge, three converging developments are poised to create an entirely new category of leasing demand over the next decade:</w:t>
      </w:r>
    </w:p>
    <w:p>
      <w:pPr>
        <w:spacing w:after="60" w:before="60"/>
      </w:pPr>
    </w:p>
    <w:p>
      <w:pPr>
        <w:spacing w:after="120"/>
      </w:pPr>
      <w:r>
        <w:rPr>
          <w:rFonts w:ascii="Arial" w:cs="Arial" w:eastAsia="Arial" w:hAnsi="Arial"/>
          <w:b/>
          <w:bCs/>
          <w:color w:val="333333"/>
          <w:sz w:val="22"/>
          <w:szCs w:val="22"/>
        </w:rPr>
        <w:t xml:space="preserve">NASA Artemis Program &amp; Lunar Economy</w:t>
      </w:r>
    </w:p>
    <w:p>
      <w:pPr>
        <w:spacing w:after="120"/>
      </w:pPr>
      <w:r>
        <w:rPr>
          <w:rFonts w:ascii="Arial" w:cs="Arial" w:eastAsia="Arial" w:hAnsi="Arial"/>
          <w:color w:val="333333"/>
          <w:sz w:val="22"/>
          <w:szCs w:val="22"/>
        </w:rPr>
        <w:t xml:space="preserve">NASA’s Artemis II completed the first crewed lunar fly-by since 1972 in April 2026, reigniting the path to sustained lunar presence. The program is laying infrastructure for a permanent lunar economy—surface habitats, power systems, communications, and resource extraction operations. Every component requires equipment leases, land-use agreements, and asset management at a scale that doesn’t exist yet. The commercial lunar economy is projected to generate tens of billions in annual activity by the mid-2030s.</w:t>
      </w:r>
    </w:p>
    <w:p>
      <w:pPr>
        <w:spacing w:after="120"/>
      </w:pPr>
      <w:r>
        <w:rPr>
          <w:rFonts w:ascii="Arial" w:cs="Arial" w:eastAsia="Arial" w:hAnsi="Arial"/>
          <w:color w:val="333333"/>
          <w:sz w:val="22"/>
          <w:szCs w:val="22"/>
        </w:rPr>
        <w:t xml:space="preserve">Critically, lunar acreage itself becomes a leasable asset class. As nations and private companies establish mining concessions, habitat zones, and research stations on the lunar surface, the land-use agreements governing those sites will need structured lease management—terms, payments, compliance, renewals. The Outer Space Treaty (1967) prohibits national sovereignty over celestial bodies, but it does not prohibit commercial use or resource extraction, and the U.S. Commercial Space Launch Competitiveness Act (2015) explicitly grants U.S. citizens rights to resources they extract. Lunar surface-use agreements are coming—and they will look a lot like terrestrial land leases. TBL’s four-asset-class platform (real estate, land, equipment, businesses) extends naturally to this frontier.</w:t>
      </w:r>
    </w:p>
    <w:p>
      <w:pPr>
        <w:spacing w:after="60" w:before="60"/>
      </w:pPr>
    </w:p>
    <w:p>
      <w:pPr>
        <w:spacing w:after="120"/>
      </w:pPr>
      <w:r>
        <w:rPr>
          <w:rFonts w:ascii="Arial" w:cs="Arial" w:eastAsia="Arial" w:hAnsi="Arial"/>
          <w:b/>
          <w:bCs/>
          <w:color w:val="333333"/>
          <w:sz w:val="22"/>
          <w:szCs w:val="22"/>
        </w:rPr>
        <w:t xml:space="preserve">Helium-3 Energy Production</w:t>
      </w:r>
    </w:p>
    <w:p>
      <w:pPr>
        <w:spacing w:after="120"/>
      </w:pPr>
      <w:r>
        <w:rPr>
          <w:rFonts w:ascii="Arial" w:cs="Arial" w:eastAsia="Arial" w:hAnsi="Arial"/>
          <w:color w:val="333333"/>
          <w:sz w:val="22"/>
          <w:szCs w:val="22"/>
        </w:rPr>
        <w:t xml:space="preserve">Helium-3, a rare isotope deposited on the Moon’s surface by billions of years of solar wind, is emerging as a potential fuel for next-generation fusion reactors. The lunar surface holds an estimated 1 million+ tonnes of Helium-3—enough to power Earth for thousands of years. Seattle-based Interlune has secured a DOE agreement to deliver moon-mined Helium-3 by 2029, with a demonstration mission planned for 2027. Companies like ispace, Magna Petra, and Black Moon Energy are developing autonomous extraction systems. The infrastructure required to mine, process, and transport Helium-3 will generate massive demand for equipment leases, land agreements, and industrial facilities across Earth-side supply chains—particularly in Boom Belt states with existing aerospace and energy infrastructure.</w:t>
      </w:r>
    </w:p>
    <w:p>
      <w:pPr>
        <w:spacing w:after="60" w:before="60"/>
      </w:pPr>
    </w:p>
    <w:p>
      <w:pPr>
        <w:spacing w:after="120"/>
      </w:pPr>
      <w:r>
        <w:rPr>
          <w:rFonts w:ascii="Arial" w:cs="Arial" w:eastAsia="Arial" w:hAnsi="Arial"/>
          <w:b/>
          <w:bCs/>
          <w:color w:val="333333"/>
          <w:sz w:val="22"/>
          <w:szCs w:val="22"/>
        </w:rPr>
        <w:t xml:space="preserve">Advanced Nuclear Technology — JJ Pickle Research Center &amp; NEXTRA Alliance</w:t>
      </w:r>
    </w:p>
    <w:p>
      <w:pPr>
        <w:spacing w:after="120"/>
      </w:pPr>
      <w:r>
        <w:rPr>
          <w:rFonts w:ascii="Arial" w:cs="Arial" w:eastAsia="Arial" w:hAnsi="Arial"/>
          <w:color w:val="333333"/>
          <w:sz w:val="22"/>
          <w:szCs w:val="22"/>
        </w:rPr>
        <w:t xml:space="preserve">The University of Texas at Austin’s JJ Pickle Research Campus—home to one of only 31 active nuclear research reactors in the US—is at the center of the NEXTRA alliance (Nuclear Energy eXperimental Testing Research Alliance). This consortium of UT Austin, Texas A&amp;M, Georgia Tech, and Abilene Christian University, funded by Natura Resources, received the first NRC construction permit for a liquid-fueled advanced reactor: the Natura MSR-1 molten salt reactor. This marks a turning point for advanced nuclear energy in the US. Molten salt reactors offer inherent safety advantages and the ability to consume nuclear waste as fuel. As advanced nuclear scales from research to commercial deployment, every reactor site needs land leases, equipment contracts, construction agreements, and lifecycle asset management—exactly what TBL provides.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4960"/>
      </w:tblGrid>
      <w:tr>
        <w:tc>
          <w:tcPr>
            <w:tcW w:type="dxa" w:w="2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Development</w:t>
            </w:r>
          </w:p>
        </w:tc>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Timeline</w:t>
            </w:r>
          </w:p>
        </w:tc>
        <w:tc>
          <w:tcPr>
            <w:tcW w:type="dxa" w:w="49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r>
              <w:rPr>
                <w:rFonts w:ascii="Arial" w:cs="Arial" w:eastAsia="Arial" w:hAnsi="Arial"/>
                <w:b/>
                <w:bCs/>
                <w:color w:val="FFFFFF"/>
                <w:sz w:val="20"/>
                <w:szCs w:val="20"/>
              </w:rPr>
              <w:t xml:space="preserve">Leasing Implications</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Artemis lunar infrastructure</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2026–2035</w:t>
            </w:r>
          </w:p>
        </w:tc>
        <w:tc>
          <w:tcPr>
            <w:tcW w:type="dxa" w:w="4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Equipment leases for launch systems, habitat construction, power infrastructure, communications arrays. Lunar acreage: surface-use agreements for mining concessions, habitat zones, and research stations.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Helium-3 extraction operations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2027–2035+</w:t>
            </w:r>
          </w:p>
        </w:tc>
        <w:tc>
          <w:tcPr>
            <w:tcW w:type="dxa" w:w="4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Earth-side processing facilities, transport equipment, storage infrastructure, supply chain leases</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NEXTRA / MSR-1 molten salt reactor</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2025–2030</w:t>
            </w:r>
          </w:p>
        </w:tc>
        <w:tc>
          <w:tcPr>
            <w:tcW w:type="dxa" w:w="4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Reactor site land leases, construction equipment, specialized nuclear equipment, ongoing facility management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Commercial fusion reactors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2030–2040+</w:t>
            </w:r>
          </w:p>
        </w:tc>
        <w:tc>
          <w:tcPr>
            <w:tcW w:type="dxa" w:w="4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Massive facility leases, specialized equipment, land for power plants, cooling infrastructure</w:t>
            </w:r>
          </w:p>
        </w:tc>
      </w:tr>
      <w:tr>
        <w:tc>
          <w:tcPr>
            <w:tcW w:type="dxa" w:w="28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Space commercialization supply chain</w:t>
            </w:r>
          </w:p>
        </w:tc>
        <w:tc>
          <w:tcPr>
            <w:tcW w:type="dxa" w:w="160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2026–2040+</w:t>
            </w:r>
          </w:p>
        </w:tc>
        <w:tc>
          <w:tcPr>
            <w:tcW w:type="dxa" w:w="4960"/>
            <w:tcBorders>
              <w:top w:val="single" w:color="CCCCCC" w:sz="1"/>
              <w:left w:val="single" w:color="CCCCCC" w:sz="1"/>
              <w:bottom w:val="single" w:color="CCCCCC" w:sz="1"/>
              <w:right w:val="single" w:color="CCCCCC" w:sz="1"/>
            </w:tcBorders>
            <w:shd w:fill="F0EDE6" w:val="clear"/>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Manufacturing facilities, test ranges, launch support infrastructure across Boom Belt states</w:t>
            </w:r>
          </w:p>
        </w:tc>
      </w:tr>
    </w:tbl>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These technologies are not speculative—they are funded, permitted, and in development today. TBL positions itself to process the leases for the next generation of American energy dominance, from advanced nuclear reactors in Texas to Helium-3 supply chains across the Boom Belt.</w:t>
      </w:r>
    </w:p>
    <w:p>
      <w:pPr>
        <w:spacing w:after="60" w:before="60"/>
      </w:pPr>
    </w:p>
    <w:p>
      <w:pPr>
        <w:pBdr>
          <w:left w:val="single" w:color="CFA94A" w:sz="12" w:space="8"/>
        </w:pBdr>
        <w:spacing w:after="100" w:before="100"/>
        <w:ind w:left="200"/>
      </w:pPr>
      <w:r>
        <w:rPr>
          <w:rFonts w:ascii="Arial" w:cs="Arial" w:eastAsia="Arial" w:hAnsi="Arial"/>
          <w:i/>
          <w:iCs/>
          <w:color w:val="1A2332"/>
          <w:sz w:val="22"/>
          <w:szCs w:val="22"/>
        </w:rPr>
        <w:t xml:space="preserve">These forces are not sequential—they are simultaneous. The next 5–10 years will see more leasing activity than the prior 50. TBL is the infrastructure that processes it.</w:t>
      </w:r>
    </w:p>
    <w:p>
      <w:pPr>
        <w:spacing w:after="200" w:before="200"/>
      </w:pPr>
    </w:p>
    <w:p>
      <w:pPr>
        <w:pBdr>
          <w:top w:val="single" w:color="CFA94A" w:sz="4" w:space="12"/>
        </w:pBdr>
        <w:spacing w:before="400"/>
        <w:jc w:val="center"/>
      </w:pPr>
    </w:p>
    <w:p>
      <w:pPr>
        <w:spacing w:after="100" w:before="100"/>
      </w:pPr>
    </w:p>
    <w:p>
      <w:pPr>
        <w:jc w:val="center"/>
      </w:pPr>
      <w:r>
        <w:rPr>
          <w:rFonts w:ascii="Georgia" w:cs="Georgia" w:eastAsia="Georgia" w:hAnsi="Georgia"/>
          <w:b/>
          <w:bCs/>
          <w:color w:val="1A2332"/>
          <w:sz w:val="28"/>
          <w:szCs w:val="28"/>
        </w:rPr>
        <w:t xml:space="preserve">The Big Lease, Inc.</w:t>
      </w:r>
    </w:p>
    <w:p>
      <w:pPr>
        <w:jc w:val="center"/>
      </w:pPr>
      <w:r>
        <w:rPr>
          <w:rFonts w:ascii="Arial" w:cs="Arial" w:eastAsia="Arial" w:hAnsi="Arial"/>
          <w:color w:val="777777"/>
          <w:sz w:val="20"/>
          <w:szCs w:val="20"/>
        </w:rPr>
        <w:t xml:space="preserve">max@thebiglease.ai  |  thebiglease.ai</w:t>
      </w:r>
    </w:p>
    <w:p>
      <w:pPr>
        <w:spacing w:after="60" w:before="60"/>
      </w:pPr>
    </w:p>
    <w:p>
      <w:pPr>
        <w:jc w:val="center"/>
      </w:pPr>
      <w:r>
        <w:rPr>
          <w:rFonts w:ascii="Arial" w:cs="Arial" w:eastAsia="Arial" w:hAnsi="Arial"/>
          <w:i/>
          <w:iCs/>
          <w:color w:val="999999"/>
          <w:sz w:val="18"/>
          <w:szCs w:val="18"/>
        </w:rPr>
        <w:t xml:space="preserve">This document is confidential and intended solely for the named recipient. Do not distribute without written consent.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999999"/>
        <w:sz w:val="16"/>
        <w:szCs w:val="16"/>
      </w:rPr>
      <w:t xml:space="preserve">The Big Lease, Inc.  |  Dominating the Boom Belt</w:t>
    </w:r>
    <w:r>
      <w:t xml:space="preserve">	</w:t>
    </w: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The Big Lease  |  </w:t>
    </w:r>
    <w:r>
      <w:rPr>
        <w:rFonts w:ascii="Arial" w:cs="Arial" w:eastAsia="Arial" w:hAnsi="Arial"/>
        <w:b/>
        <w:bCs/>
        <w:color w:val="CFA94A"/>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40"/>
      <w:outlineLvl w:val="1"/>
    </w:pPr>
    <w:rPr>
      <w:rFonts w:ascii="Georgia" w:cs="Georgia" w:eastAsia="Georgia" w:hAnsi="Georgia"/>
      <w:b/>
      <w:bCs/>
      <w:color w:val="333333"/>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5555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2026-04-12T06:13:07.507Z</dcterms:created>
  <dcterms:modified xsi:type="dcterms:W3CDTF">2026-04-12T06:13:07.508Z</dcterms:modified>
</cp:coreProperties>
</file>

<file path=docProps/custom.xml><?xml version="1.0" encoding="utf-8"?>
<Properties xmlns="http://schemas.openxmlformats.org/officeDocument/2006/custom-properties" xmlns:vt="http://schemas.openxmlformats.org/officeDocument/2006/docPropsVTypes"/>
</file>